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教师论文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幼儿园自主性玩</w:t>
      </w: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  <w:lang w:eastAsia="zh-CN"/>
        </w:rPr>
        <w:t>沙游戏中的问题与指导策略</w:t>
      </w:r>
    </w:p>
    <w:p>
      <w:pPr>
        <w:jc w:val="center"/>
        <w:rPr>
          <w:rFonts w:hint="eastAsia"/>
          <w:vertAlign w:val="baseline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（早期教育·教科研2014.0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83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4" name="图片 4" descr="FullSizeRender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ullSizeRender(1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5" name="图片 5" descr="FullSizeRender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ullSizeRender(2)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56897"/>
    <w:rsid w:val="029E2563"/>
    <w:rsid w:val="058D7C8E"/>
    <w:rsid w:val="1690341F"/>
    <w:rsid w:val="197C0CF9"/>
    <w:rsid w:val="59856897"/>
    <w:rsid w:val="6EEE16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2016-01-07T01:38:00Z</dcterms:created>
  <dc:creator>Administrator</dc:creator>
  <cp:lastModifiedBy>Administrator</cp:lastModifiedBy>
  <dcterms:modified xsi:type="dcterms:W3CDTF">2016-01-07T02:59:47Z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