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幼儿角色游戏交流分享环节的组织方法</w:t>
      </w:r>
    </w:p>
    <w:p>
      <w:pPr>
        <w:rPr>
          <w:rFonts w:hint="eastAsia"/>
        </w:rPr>
      </w:pPr>
      <w:r>
        <w:rPr>
          <w:rFonts w:hint="eastAsia"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图片 2" o:spid="_x0000_s1026" type="#_x0000_t75" style="height:553.7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r>
        <w:rPr>
          <w:rFonts w:hint="eastAsia"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图片 3" o:spid="_x0000_s1027" type="#_x0000_t75" style="height:553.7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A6939"/>
    <w:rsid w:val="00223D58"/>
    <w:rsid w:val="004A6939"/>
    <w:rsid w:val="56C02E1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</Words>
  <Characters>19</Characters>
  <Lines>1</Lines>
  <Paragraphs>1</Paragraphs>
  <TotalTime>0</TotalTime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2015-09-29T02:46:00Z</dcterms:created>
  <dc:creator>lenovo</dc:creator>
  <cp:lastModifiedBy>Administrator</cp:lastModifiedBy>
  <dcterms:modified xsi:type="dcterms:W3CDTF">2015-09-29T06:03:38Z</dcterms:modified>
  <dc:title>幼儿角色游戏交流分享环节的组织方法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