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8E4" w:rsidRPr="008C2B8B" w:rsidRDefault="000878E4" w:rsidP="000878E4">
      <w:pPr>
        <w:jc w:val="center"/>
        <w:rPr>
          <w:rFonts w:ascii="方正大标宋简体" w:eastAsia="方正大标宋简体"/>
          <w:b/>
          <w:sz w:val="36"/>
        </w:rPr>
      </w:pPr>
      <w:r>
        <w:rPr>
          <w:rFonts w:ascii="方正大标宋简体" w:eastAsia="方正大标宋简体" w:hint="eastAsia"/>
          <w:b/>
          <w:sz w:val="36"/>
        </w:rPr>
        <w:t>课题组</w:t>
      </w:r>
      <w:r w:rsidR="00EE7456">
        <w:rPr>
          <w:rFonts w:ascii="方正大标宋简体" w:eastAsia="方正大标宋简体" w:hint="eastAsia"/>
          <w:b/>
          <w:sz w:val="36"/>
        </w:rPr>
        <w:t>数学</w:t>
      </w:r>
      <w:r>
        <w:rPr>
          <w:rFonts w:ascii="方正大标宋简体" w:eastAsia="方正大标宋简体" w:hint="eastAsia"/>
          <w:b/>
          <w:sz w:val="36"/>
        </w:rPr>
        <w:t>学科沙龙研讨记载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7"/>
        <w:gridCol w:w="1782"/>
        <w:gridCol w:w="833"/>
        <w:gridCol w:w="890"/>
        <w:gridCol w:w="1053"/>
        <w:gridCol w:w="1359"/>
        <w:gridCol w:w="752"/>
        <w:gridCol w:w="1006"/>
      </w:tblGrid>
      <w:tr w:rsidR="000878E4" w:rsidTr="00B40267">
        <w:tc>
          <w:tcPr>
            <w:tcW w:w="847" w:type="dxa"/>
            <w:vAlign w:val="center"/>
          </w:tcPr>
          <w:p w:rsidR="000878E4" w:rsidRPr="00DA7769" w:rsidRDefault="000878E4" w:rsidP="00B40267">
            <w:pPr>
              <w:jc w:val="center"/>
              <w:rPr>
                <w:rFonts w:ascii="宋体"/>
                <w:b/>
                <w:sz w:val="24"/>
              </w:rPr>
            </w:pPr>
            <w:r w:rsidRPr="00DA7769">
              <w:rPr>
                <w:rFonts w:ascii="宋体" w:hint="eastAsia"/>
                <w:b/>
                <w:sz w:val="24"/>
              </w:rPr>
              <w:t>时  间</w:t>
            </w:r>
          </w:p>
        </w:tc>
        <w:tc>
          <w:tcPr>
            <w:tcW w:w="1782" w:type="dxa"/>
            <w:vAlign w:val="center"/>
          </w:tcPr>
          <w:p w:rsidR="000878E4" w:rsidRPr="00DA7769" w:rsidRDefault="000878E4" w:rsidP="00B40267">
            <w:pPr>
              <w:jc w:val="center"/>
              <w:rPr>
                <w:rFonts w:ascii="宋体"/>
                <w:b/>
                <w:sz w:val="24"/>
              </w:rPr>
            </w:pPr>
            <w:r w:rsidRPr="00DA7769">
              <w:rPr>
                <w:rFonts w:ascii="宋体" w:hint="eastAsia"/>
                <w:b/>
                <w:sz w:val="24"/>
              </w:rPr>
              <w:t>2013、9、13</w:t>
            </w:r>
          </w:p>
        </w:tc>
        <w:tc>
          <w:tcPr>
            <w:tcW w:w="833" w:type="dxa"/>
            <w:vAlign w:val="center"/>
          </w:tcPr>
          <w:p w:rsidR="000878E4" w:rsidRPr="00DA7769" w:rsidRDefault="000878E4" w:rsidP="00B40267">
            <w:pPr>
              <w:jc w:val="center"/>
              <w:rPr>
                <w:rFonts w:ascii="宋体"/>
                <w:b/>
                <w:sz w:val="24"/>
              </w:rPr>
            </w:pPr>
            <w:r w:rsidRPr="00DA7769">
              <w:rPr>
                <w:rFonts w:ascii="宋体" w:hint="eastAsia"/>
                <w:b/>
                <w:sz w:val="24"/>
              </w:rPr>
              <w:t>地点</w:t>
            </w:r>
          </w:p>
        </w:tc>
        <w:tc>
          <w:tcPr>
            <w:tcW w:w="890" w:type="dxa"/>
            <w:vAlign w:val="center"/>
          </w:tcPr>
          <w:p w:rsidR="000878E4" w:rsidRPr="00DA7769" w:rsidRDefault="000878E4" w:rsidP="000878E4">
            <w:pPr>
              <w:jc w:val="center"/>
              <w:rPr>
                <w:rFonts w:ascii="宋体"/>
                <w:b/>
                <w:sz w:val="24"/>
              </w:rPr>
            </w:pPr>
            <w:r w:rsidRPr="00DA7769">
              <w:rPr>
                <w:rFonts w:ascii="宋体" w:hint="eastAsia"/>
                <w:b/>
                <w:sz w:val="24"/>
              </w:rPr>
              <w:t>三（</w:t>
            </w:r>
            <w:r>
              <w:rPr>
                <w:rFonts w:ascii="宋体" w:hint="eastAsia"/>
                <w:b/>
                <w:sz w:val="24"/>
              </w:rPr>
              <w:t>1</w:t>
            </w:r>
            <w:r w:rsidRPr="00DA7769">
              <w:rPr>
                <w:rFonts w:ascii="宋体" w:hint="eastAsia"/>
                <w:b/>
                <w:sz w:val="24"/>
              </w:rPr>
              <w:t>）班</w:t>
            </w:r>
          </w:p>
        </w:tc>
        <w:tc>
          <w:tcPr>
            <w:tcW w:w="1053" w:type="dxa"/>
            <w:vAlign w:val="center"/>
          </w:tcPr>
          <w:p w:rsidR="000878E4" w:rsidRPr="00DA7769" w:rsidRDefault="000878E4" w:rsidP="00B40267">
            <w:pPr>
              <w:jc w:val="center"/>
              <w:rPr>
                <w:rFonts w:ascii="宋体"/>
                <w:b/>
                <w:sz w:val="24"/>
              </w:rPr>
            </w:pPr>
            <w:r w:rsidRPr="00DA7769">
              <w:rPr>
                <w:rFonts w:ascii="宋体" w:hint="eastAsia"/>
                <w:b/>
                <w:sz w:val="24"/>
              </w:rPr>
              <w:t>参加对象</w:t>
            </w:r>
          </w:p>
          <w:p w:rsidR="000878E4" w:rsidRPr="00DA7769" w:rsidRDefault="000878E4" w:rsidP="00B40267">
            <w:pPr>
              <w:jc w:val="center"/>
              <w:rPr>
                <w:rFonts w:ascii="宋体"/>
                <w:b/>
                <w:sz w:val="24"/>
              </w:rPr>
            </w:pPr>
            <w:r w:rsidRPr="00DA7769">
              <w:rPr>
                <w:rFonts w:ascii="宋体" w:hint="eastAsia"/>
                <w:b/>
                <w:sz w:val="24"/>
              </w:rPr>
              <w:t>及应到人数</w:t>
            </w:r>
          </w:p>
        </w:tc>
        <w:tc>
          <w:tcPr>
            <w:tcW w:w="1359" w:type="dxa"/>
            <w:vAlign w:val="center"/>
          </w:tcPr>
          <w:p w:rsidR="000878E4" w:rsidRPr="00DA7769" w:rsidRDefault="000878E4" w:rsidP="00B40267">
            <w:pPr>
              <w:rPr>
                <w:sz w:val="24"/>
              </w:rPr>
            </w:pPr>
            <w:r w:rsidRPr="00DA7769">
              <w:rPr>
                <w:rFonts w:hint="eastAsia"/>
                <w:sz w:val="24"/>
              </w:rPr>
              <w:t>全体</w:t>
            </w:r>
            <w:r>
              <w:rPr>
                <w:rFonts w:hint="eastAsia"/>
                <w:sz w:val="24"/>
              </w:rPr>
              <w:t>数学</w:t>
            </w:r>
            <w:r w:rsidRPr="00DA7769">
              <w:rPr>
                <w:rFonts w:hint="eastAsia"/>
                <w:sz w:val="24"/>
              </w:rPr>
              <w:t>教师</w:t>
            </w:r>
          </w:p>
          <w:p w:rsidR="000878E4" w:rsidRPr="00DA7769" w:rsidRDefault="000878E4" w:rsidP="00B40267">
            <w:pPr>
              <w:rPr>
                <w:sz w:val="24"/>
              </w:rPr>
            </w:pPr>
            <w:r>
              <w:rPr>
                <w:rFonts w:hint="eastAsia"/>
                <w:sz w:val="24"/>
              </w:rPr>
              <w:t>15</w:t>
            </w:r>
            <w:r w:rsidRPr="00DA7769">
              <w:rPr>
                <w:rFonts w:hint="eastAsia"/>
                <w:sz w:val="24"/>
              </w:rPr>
              <w:t>人</w:t>
            </w:r>
          </w:p>
        </w:tc>
        <w:tc>
          <w:tcPr>
            <w:tcW w:w="752" w:type="dxa"/>
            <w:vAlign w:val="center"/>
          </w:tcPr>
          <w:p w:rsidR="000878E4" w:rsidRPr="00DA7769" w:rsidRDefault="000878E4" w:rsidP="00B40267">
            <w:pPr>
              <w:jc w:val="center"/>
              <w:rPr>
                <w:rFonts w:ascii="宋体"/>
                <w:b/>
                <w:sz w:val="24"/>
              </w:rPr>
            </w:pPr>
            <w:r w:rsidRPr="00DA7769">
              <w:rPr>
                <w:rFonts w:ascii="宋体" w:hint="eastAsia"/>
                <w:b/>
                <w:sz w:val="24"/>
              </w:rPr>
              <w:t>实到人数</w:t>
            </w:r>
          </w:p>
        </w:tc>
        <w:tc>
          <w:tcPr>
            <w:tcW w:w="1006" w:type="dxa"/>
            <w:vAlign w:val="center"/>
          </w:tcPr>
          <w:p w:rsidR="000878E4" w:rsidRPr="00DA7769" w:rsidRDefault="000878E4" w:rsidP="00B40267">
            <w:pPr>
              <w:jc w:val="center"/>
              <w:rPr>
                <w:rFonts w:ascii="宋体"/>
                <w:b/>
                <w:sz w:val="24"/>
              </w:rPr>
            </w:pPr>
            <w:r>
              <w:rPr>
                <w:rFonts w:ascii="宋体" w:hint="eastAsia"/>
                <w:b/>
                <w:sz w:val="24"/>
              </w:rPr>
              <w:t>15</w:t>
            </w:r>
            <w:r w:rsidRPr="00DA7769">
              <w:rPr>
                <w:rFonts w:ascii="宋体" w:hint="eastAsia"/>
                <w:b/>
                <w:sz w:val="24"/>
              </w:rPr>
              <w:t>人</w:t>
            </w:r>
          </w:p>
        </w:tc>
      </w:tr>
      <w:tr w:rsidR="000878E4" w:rsidTr="00B40267">
        <w:trPr>
          <w:cantSplit/>
        </w:trPr>
        <w:tc>
          <w:tcPr>
            <w:tcW w:w="847" w:type="dxa"/>
            <w:vAlign w:val="center"/>
          </w:tcPr>
          <w:p w:rsidR="000878E4" w:rsidRPr="00DA7769" w:rsidRDefault="000878E4" w:rsidP="00B40267">
            <w:pPr>
              <w:jc w:val="center"/>
              <w:rPr>
                <w:rFonts w:ascii="宋体"/>
                <w:b/>
                <w:sz w:val="24"/>
              </w:rPr>
            </w:pPr>
            <w:r w:rsidRPr="00DA7769">
              <w:rPr>
                <w:rFonts w:ascii="宋体" w:hint="eastAsia"/>
                <w:b/>
                <w:sz w:val="24"/>
              </w:rPr>
              <w:t>主持人</w:t>
            </w:r>
          </w:p>
        </w:tc>
        <w:tc>
          <w:tcPr>
            <w:tcW w:w="1782" w:type="dxa"/>
            <w:vAlign w:val="center"/>
          </w:tcPr>
          <w:p w:rsidR="000878E4" w:rsidRPr="00DA7769" w:rsidRDefault="000878E4" w:rsidP="00B40267">
            <w:pPr>
              <w:jc w:val="center"/>
              <w:rPr>
                <w:rFonts w:ascii="宋体"/>
                <w:b/>
                <w:sz w:val="24"/>
              </w:rPr>
            </w:pPr>
            <w:r>
              <w:rPr>
                <w:rFonts w:ascii="宋体" w:hint="eastAsia"/>
                <w:b/>
                <w:sz w:val="24"/>
              </w:rPr>
              <w:t>杨丽霞</w:t>
            </w:r>
          </w:p>
        </w:tc>
        <w:tc>
          <w:tcPr>
            <w:tcW w:w="833" w:type="dxa"/>
            <w:vAlign w:val="center"/>
          </w:tcPr>
          <w:p w:rsidR="000878E4" w:rsidRPr="00DA7769" w:rsidRDefault="000878E4" w:rsidP="00B40267">
            <w:pPr>
              <w:jc w:val="center"/>
              <w:rPr>
                <w:rFonts w:ascii="宋体"/>
                <w:b/>
                <w:sz w:val="24"/>
              </w:rPr>
            </w:pPr>
            <w:r w:rsidRPr="00DA7769">
              <w:rPr>
                <w:rFonts w:ascii="宋体" w:hint="eastAsia"/>
                <w:b/>
                <w:sz w:val="24"/>
              </w:rPr>
              <w:t>活动</w:t>
            </w:r>
          </w:p>
          <w:p w:rsidR="000878E4" w:rsidRPr="00DA7769" w:rsidRDefault="000878E4" w:rsidP="00B40267">
            <w:pPr>
              <w:jc w:val="center"/>
              <w:rPr>
                <w:rFonts w:ascii="宋体"/>
                <w:b/>
                <w:sz w:val="24"/>
              </w:rPr>
            </w:pPr>
            <w:r w:rsidRPr="00DA7769">
              <w:rPr>
                <w:rFonts w:ascii="宋体" w:hint="eastAsia"/>
                <w:b/>
                <w:sz w:val="24"/>
              </w:rPr>
              <w:t>形式</w:t>
            </w:r>
          </w:p>
        </w:tc>
        <w:tc>
          <w:tcPr>
            <w:tcW w:w="5060" w:type="dxa"/>
            <w:gridSpan w:val="5"/>
            <w:vAlign w:val="center"/>
          </w:tcPr>
          <w:p w:rsidR="000878E4" w:rsidRPr="00DA7769" w:rsidRDefault="000878E4" w:rsidP="00B40267">
            <w:pPr>
              <w:jc w:val="center"/>
              <w:rPr>
                <w:rFonts w:ascii="宋体"/>
                <w:b/>
                <w:sz w:val="24"/>
              </w:rPr>
            </w:pPr>
            <w:r w:rsidRPr="00DA7769">
              <w:rPr>
                <w:rFonts w:ascii="宋体" w:hint="eastAsia"/>
                <w:b/>
                <w:sz w:val="24"/>
              </w:rPr>
              <w:t>沙龙</w:t>
            </w:r>
          </w:p>
        </w:tc>
      </w:tr>
      <w:tr w:rsidR="000878E4" w:rsidTr="00B40267">
        <w:tc>
          <w:tcPr>
            <w:tcW w:w="847" w:type="dxa"/>
            <w:vAlign w:val="center"/>
          </w:tcPr>
          <w:p w:rsidR="000878E4" w:rsidRPr="00DA7769" w:rsidRDefault="000878E4" w:rsidP="00B40267">
            <w:pPr>
              <w:jc w:val="center"/>
              <w:rPr>
                <w:rFonts w:ascii="宋体"/>
                <w:b/>
                <w:sz w:val="24"/>
              </w:rPr>
            </w:pPr>
            <w:r w:rsidRPr="00DA7769">
              <w:rPr>
                <w:rFonts w:ascii="宋体" w:hint="eastAsia"/>
                <w:b/>
                <w:sz w:val="24"/>
              </w:rPr>
              <w:t>沙龙主题</w:t>
            </w:r>
          </w:p>
        </w:tc>
        <w:tc>
          <w:tcPr>
            <w:tcW w:w="7675" w:type="dxa"/>
            <w:gridSpan w:val="7"/>
            <w:vAlign w:val="center"/>
          </w:tcPr>
          <w:p w:rsidR="000878E4" w:rsidRPr="00DA7769" w:rsidRDefault="000878E4" w:rsidP="000878E4">
            <w:pPr>
              <w:jc w:val="center"/>
              <w:rPr>
                <w:rFonts w:ascii="宋体"/>
                <w:b/>
                <w:sz w:val="24"/>
              </w:rPr>
            </w:pPr>
            <w:proofErr w:type="gramStart"/>
            <w:r w:rsidRPr="006830B5">
              <w:rPr>
                <w:rFonts w:asciiTheme="majorEastAsia" w:eastAsiaTheme="majorEastAsia" w:hAnsiTheme="majorEastAsia" w:hint="eastAsia"/>
                <w:b/>
                <w:sz w:val="30"/>
                <w:szCs w:val="30"/>
              </w:rPr>
              <w:t>数学诚恒课堂</w:t>
            </w:r>
            <w:proofErr w:type="gramEnd"/>
            <w:r>
              <w:rPr>
                <w:rFonts w:asciiTheme="majorEastAsia" w:eastAsiaTheme="majorEastAsia" w:hAnsiTheme="majorEastAsia" w:hint="eastAsia"/>
                <w:b/>
                <w:sz w:val="30"/>
                <w:szCs w:val="30"/>
              </w:rPr>
              <w:t>中的计算教学</w:t>
            </w:r>
          </w:p>
        </w:tc>
      </w:tr>
      <w:tr w:rsidR="000878E4" w:rsidTr="00B40267">
        <w:tc>
          <w:tcPr>
            <w:tcW w:w="847" w:type="dxa"/>
            <w:vAlign w:val="center"/>
          </w:tcPr>
          <w:p w:rsidR="000878E4" w:rsidRDefault="000878E4" w:rsidP="00B40267">
            <w:pPr>
              <w:jc w:val="center"/>
              <w:rPr>
                <w:rFonts w:ascii="宋体"/>
                <w:b/>
              </w:rPr>
            </w:pPr>
          </w:p>
          <w:p w:rsidR="000878E4" w:rsidRDefault="000878E4" w:rsidP="00B40267">
            <w:pPr>
              <w:jc w:val="center"/>
              <w:rPr>
                <w:rFonts w:ascii="宋体"/>
                <w:b/>
              </w:rPr>
            </w:pPr>
          </w:p>
          <w:p w:rsidR="000878E4" w:rsidRDefault="000878E4" w:rsidP="00B40267">
            <w:pPr>
              <w:jc w:val="center"/>
              <w:rPr>
                <w:rFonts w:ascii="宋体"/>
                <w:b/>
              </w:rPr>
            </w:pPr>
          </w:p>
          <w:p w:rsidR="000878E4" w:rsidRDefault="000878E4" w:rsidP="00B40267">
            <w:pPr>
              <w:jc w:val="center"/>
              <w:rPr>
                <w:rFonts w:ascii="宋体"/>
                <w:b/>
              </w:rPr>
            </w:pPr>
          </w:p>
          <w:p w:rsidR="000878E4" w:rsidRDefault="000878E4" w:rsidP="00B40267">
            <w:pPr>
              <w:jc w:val="center"/>
              <w:rPr>
                <w:rFonts w:ascii="宋体"/>
                <w:b/>
              </w:rPr>
            </w:pPr>
          </w:p>
          <w:p w:rsidR="000878E4" w:rsidRDefault="000878E4" w:rsidP="00B40267">
            <w:pPr>
              <w:jc w:val="center"/>
              <w:rPr>
                <w:rFonts w:ascii="宋体"/>
                <w:b/>
              </w:rPr>
            </w:pPr>
          </w:p>
          <w:p w:rsidR="000878E4" w:rsidRDefault="000878E4" w:rsidP="00B40267">
            <w:pPr>
              <w:jc w:val="center"/>
              <w:rPr>
                <w:rFonts w:ascii="宋体"/>
                <w:b/>
              </w:rPr>
            </w:pPr>
          </w:p>
          <w:p w:rsidR="000878E4" w:rsidRDefault="000878E4" w:rsidP="00B40267">
            <w:pPr>
              <w:rPr>
                <w:rFonts w:ascii="宋体"/>
                <w:b/>
              </w:rPr>
            </w:pPr>
          </w:p>
          <w:p w:rsidR="000878E4" w:rsidRPr="00DA7769" w:rsidRDefault="000878E4" w:rsidP="00B40267">
            <w:pPr>
              <w:jc w:val="center"/>
              <w:rPr>
                <w:rFonts w:ascii="宋体"/>
                <w:b/>
                <w:sz w:val="24"/>
              </w:rPr>
            </w:pPr>
            <w:r w:rsidRPr="00DA7769">
              <w:rPr>
                <w:rFonts w:ascii="宋体" w:hint="eastAsia"/>
                <w:b/>
                <w:spacing w:val="40"/>
                <w:sz w:val="24"/>
              </w:rPr>
              <w:t>主 要 内 容 摘 要</w:t>
            </w:r>
          </w:p>
          <w:p w:rsidR="000878E4" w:rsidRDefault="000878E4" w:rsidP="00B40267">
            <w:pPr>
              <w:jc w:val="center"/>
              <w:rPr>
                <w:rFonts w:ascii="宋体"/>
                <w:b/>
              </w:rPr>
            </w:pPr>
          </w:p>
          <w:p w:rsidR="000878E4" w:rsidRDefault="000878E4" w:rsidP="00B40267">
            <w:pPr>
              <w:jc w:val="center"/>
              <w:rPr>
                <w:rFonts w:ascii="宋体"/>
                <w:b/>
              </w:rPr>
            </w:pPr>
          </w:p>
          <w:p w:rsidR="000878E4" w:rsidRDefault="000878E4" w:rsidP="00B40267">
            <w:pPr>
              <w:jc w:val="center"/>
              <w:rPr>
                <w:rFonts w:ascii="宋体"/>
                <w:b/>
              </w:rPr>
            </w:pPr>
          </w:p>
          <w:p w:rsidR="000878E4" w:rsidRDefault="000878E4" w:rsidP="00B40267">
            <w:pPr>
              <w:jc w:val="center"/>
              <w:rPr>
                <w:rFonts w:ascii="宋体"/>
                <w:b/>
              </w:rPr>
            </w:pPr>
          </w:p>
          <w:p w:rsidR="000878E4" w:rsidRDefault="000878E4" w:rsidP="00B40267">
            <w:pPr>
              <w:jc w:val="center"/>
              <w:rPr>
                <w:rFonts w:ascii="宋体"/>
                <w:b/>
              </w:rPr>
            </w:pPr>
          </w:p>
          <w:p w:rsidR="000878E4" w:rsidRDefault="000878E4" w:rsidP="00B40267">
            <w:pPr>
              <w:jc w:val="center"/>
              <w:rPr>
                <w:rFonts w:ascii="宋体"/>
                <w:b/>
              </w:rPr>
            </w:pPr>
          </w:p>
          <w:p w:rsidR="000878E4" w:rsidRDefault="000878E4" w:rsidP="00B40267">
            <w:pPr>
              <w:jc w:val="center"/>
              <w:rPr>
                <w:rFonts w:ascii="宋体"/>
                <w:b/>
              </w:rPr>
            </w:pPr>
          </w:p>
          <w:p w:rsidR="000878E4" w:rsidRDefault="000878E4" w:rsidP="00B40267">
            <w:pPr>
              <w:jc w:val="center"/>
              <w:rPr>
                <w:rFonts w:ascii="宋体"/>
                <w:b/>
              </w:rPr>
            </w:pPr>
          </w:p>
          <w:p w:rsidR="000878E4" w:rsidRDefault="000878E4" w:rsidP="00B40267">
            <w:pPr>
              <w:jc w:val="center"/>
              <w:rPr>
                <w:rFonts w:ascii="宋体"/>
                <w:b/>
              </w:rPr>
            </w:pPr>
          </w:p>
          <w:p w:rsidR="000878E4" w:rsidRDefault="000878E4" w:rsidP="00B40267">
            <w:pPr>
              <w:jc w:val="center"/>
              <w:rPr>
                <w:rFonts w:ascii="宋体"/>
                <w:b/>
              </w:rPr>
            </w:pPr>
          </w:p>
          <w:p w:rsidR="000878E4" w:rsidRDefault="000878E4" w:rsidP="00B40267">
            <w:pPr>
              <w:jc w:val="center"/>
              <w:rPr>
                <w:rFonts w:ascii="宋体"/>
                <w:b/>
              </w:rPr>
            </w:pPr>
          </w:p>
          <w:p w:rsidR="000878E4" w:rsidRDefault="000878E4" w:rsidP="00B40267">
            <w:pPr>
              <w:jc w:val="center"/>
              <w:rPr>
                <w:rFonts w:ascii="宋体"/>
                <w:b/>
              </w:rPr>
            </w:pPr>
          </w:p>
          <w:p w:rsidR="000878E4" w:rsidRDefault="000878E4" w:rsidP="00B40267">
            <w:pPr>
              <w:jc w:val="center"/>
              <w:rPr>
                <w:rFonts w:ascii="宋体"/>
                <w:b/>
              </w:rPr>
            </w:pPr>
          </w:p>
          <w:p w:rsidR="000878E4" w:rsidRDefault="000878E4" w:rsidP="00B40267">
            <w:pPr>
              <w:jc w:val="center"/>
              <w:rPr>
                <w:rFonts w:ascii="宋体"/>
                <w:b/>
              </w:rPr>
            </w:pPr>
          </w:p>
          <w:p w:rsidR="000878E4" w:rsidRDefault="000878E4" w:rsidP="00B40267">
            <w:pPr>
              <w:jc w:val="center"/>
              <w:rPr>
                <w:rFonts w:ascii="宋体"/>
                <w:b/>
              </w:rPr>
            </w:pPr>
          </w:p>
          <w:p w:rsidR="000878E4" w:rsidRDefault="000878E4" w:rsidP="00B40267">
            <w:pPr>
              <w:jc w:val="center"/>
              <w:rPr>
                <w:rFonts w:ascii="宋体"/>
                <w:b/>
              </w:rPr>
            </w:pPr>
          </w:p>
          <w:p w:rsidR="000878E4" w:rsidRDefault="000878E4" w:rsidP="00B40267">
            <w:pPr>
              <w:jc w:val="center"/>
              <w:rPr>
                <w:rFonts w:ascii="宋体"/>
                <w:b/>
              </w:rPr>
            </w:pPr>
          </w:p>
          <w:p w:rsidR="000878E4" w:rsidRDefault="000878E4" w:rsidP="00B40267">
            <w:pPr>
              <w:jc w:val="center"/>
              <w:rPr>
                <w:rFonts w:ascii="宋体"/>
                <w:b/>
              </w:rPr>
            </w:pPr>
          </w:p>
          <w:p w:rsidR="000878E4" w:rsidRDefault="000878E4" w:rsidP="00B40267">
            <w:pPr>
              <w:jc w:val="center"/>
              <w:rPr>
                <w:rFonts w:ascii="宋体"/>
                <w:b/>
              </w:rPr>
            </w:pPr>
          </w:p>
          <w:p w:rsidR="000878E4" w:rsidRDefault="000878E4" w:rsidP="00B40267">
            <w:pPr>
              <w:jc w:val="center"/>
              <w:rPr>
                <w:rFonts w:ascii="宋体"/>
                <w:b/>
              </w:rPr>
            </w:pPr>
          </w:p>
          <w:p w:rsidR="000878E4" w:rsidRDefault="000878E4" w:rsidP="00B40267">
            <w:pPr>
              <w:jc w:val="center"/>
              <w:rPr>
                <w:rFonts w:ascii="宋体"/>
                <w:b/>
              </w:rPr>
            </w:pPr>
          </w:p>
          <w:p w:rsidR="000878E4" w:rsidRDefault="000878E4" w:rsidP="00B40267">
            <w:pPr>
              <w:jc w:val="center"/>
              <w:rPr>
                <w:rFonts w:ascii="宋体"/>
                <w:b/>
              </w:rPr>
            </w:pPr>
          </w:p>
          <w:p w:rsidR="000878E4" w:rsidRDefault="000878E4" w:rsidP="00B40267">
            <w:pPr>
              <w:jc w:val="center"/>
              <w:rPr>
                <w:rFonts w:ascii="宋体"/>
                <w:b/>
              </w:rPr>
            </w:pPr>
          </w:p>
          <w:p w:rsidR="000878E4" w:rsidRDefault="000878E4" w:rsidP="00B40267">
            <w:pPr>
              <w:jc w:val="center"/>
              <w:rPr>
                <w:rFonts w:ascii="宋体"/>
                <w:b/>
              </w:rPr>
            </w:pPr>
          </w:p>
          <w:p w:rsidR="000878E4" w:rsidRDefault="000878E4" w:rsidP="00B40267">
            <w:pPr>
              <w:jc w:val="center"/>
              <w:rPr>
                <w:rFonts w:ascii="宋体"/>
                <w:b/>
              </w:rPr>
            </w:pPr>
          </w:p>
          <w:p w:rsidR="000878E4" w:rsidRDefault="000878E4" w:rsidP="00B40267">
            <w:pPr>
              <w:jc w:val="center"/>
              <w:rPr>
                <w:rFonts w:ascii="宋体"/>
                <w:b/>
              </w:rPr>
            </w:pPr>
          </w:p>
        </w:tc>
        <w:tc>
          <w:tcPr>
            <w:tcW w:w="7675" w:type="dxa"/>
            <w:gridSpan w:val="7"/>
            <w:vMerge w:val="restart"/>
            <w:vAlign w:val="center"/>
          </w:tcPr>
          <w:p w:rsidR="000878E4" w:rsidRPr="00EE7456" w:rsidRDefault="00EE7456" w:rsidP="00EE7456">
            <w:pPr>
              <w:rPr>
                <w:rFonts w:ascii="宋体" w:hAnsi="宋体" w:hint="eastAsia"/>
                <w:color w:val="000000" w:themeColor="text1"/>
                <w:sz w:val="24"/>
              </w:rPr>
            </w:pPr>
            <w:r>
              <w:rPr>
                <w:rFonts w:ascii="宋体" w:hAnsi="宋体" w:hint="eastAsia"/>
                <w:color w:val="000000" w:themeColor="text1"/>
                <w:sz w:val="24"/>
              </w:rPr>
              <w:lastRenderedPageBreak/>
              <w:t>一、</w:t>
            </w:r>
            <w:r w:rsidRPr="00EE7456">
              <w:rPr>
                <w:rFonts w:ascii="宋体" w:hAnsi="宋体" w:hint="eastAsia"/>
                <w:color w:val="000000" w:themeColor="text1"/>
                <w:sz w:val="24"/>
              </w:rPr>
              <w:t>主持人：上午我们一起听了三节，课题研究课，下面大家</w:t>
            </w:r>
            <w:proofErr w:type="gramStart"/>
            <w:r w:rsidRPr="00EE7456">
              <w:rPr>
                <w:rFonts w:ascii="宋体" w:hAnsi="宋体" w:hint="eastAsia"/>
                <w:color w:val="000000" w:themeColor="text1"/>
                <w:sz w:val="24"/>
              </w:rPr>
              <w:t>数学诚恒课堂</w:t>
            </w:r>
            <w:proofErr w:type="gramEnd"/>
            <w:r w:rsidRPr="00EE7456">
              <w:rPr>
                <w:rFonts w:ascii="宋体" w:hAnsi="宋体" w:hint="eastAsia"/>
                <w:color w:val="000000" w:themeColor="text1"/>
                <w:sz w:val="24"/>
              </w:rPr>
              <w:t>中的计算教学发表自己的看法。</w:t>
            </w:r>
          </w:p>
          <w:p w:rsidR="00EE7456" w:rsidRPr="00EE7456" w:rsidRDefault="00EE7456" w:rsidP="00EE7456">
            <w:pPr>
              <w:rPr>
                <w:rFonts w:ascii="宋体" w:hAnsi="宋体" w:hint="eastAsia"/>
                <w:color w:val="000000" w:themeColor="text1"/>
                <w:sz w:val="24"/>
              </w:rPr>
            </w:pPr>
            <w:r>
              <w:rPr>
                <w:rFonts w:ascii="宋体" w:hAnsi="宋体" w:hint="eastAsia"/>
                <w:color w:val="000000" w:themeColor="text1"/>
                <w:sz w:val="24"/>
              </w:rPr>
              <w:t>二、</w:t>
            </w:r>
            <w:r w:rsidRPr="00EE7456">
              <w:rPr>
                <w:rFonts w:ascii="宋体" w:hAnsi="宋体" w:hint="eastAsia"/>
                <w:color w:val="000000" w:themeColor="text1"/>
                <w:sz w:val="24"/>
              </w:rPr>
              <w:t>研究讨论</w:t>
            </w:r>
          </w:p>
          <w:p w:rsidR="00927EEE" w:rsidRPr="00F52804" w:rsidRDefault="00927EEE" w:rsidP="00927EEE">
            <w:pPr>
              <w:widowControl/>
              <w:shd w:val="clear" w:color="auto" w:fill="FFFFFF" w:themeFill="background1"/>
              <w:spacing w:line="440" w:lineRule="exact"/>
              <w:jc w:val="left"/>
              <w:rPr>
                <w:rFonts w:ascii="宋体" w:hAnsi="宋体" w:cs="宋体"/>
                <w:color w:val="000000" w:themeColor="text1"/>
                <w:kern w:val="0"/>
                <w:sz w:val="24"/>
              </w:rPr>
            </w:pPr>
            <w:r w:rsidRPr="00927EEE">
              <w:rPr>
                <w:rFonts w:ascii="宋体" w:hAnsi="宋体" w:hint="eastAsia"/>
                <w:color w:val="000000" w:themeColor="text1"/>
                <w:sz w:val="24"/>
              </w:rPr>
              <w:t>路婷</w:t>
            </w:r>
            <w:r w:rsidRPr="00EE7456">
              <w:rPr>
                <w:rFonts w:ascii="宋体" w:hAnsi="宋体" w:hint="eastAsia"/>
                <w:color w:val="000000" w:themeColor="text1"/>
                <w:sz w:val="24"/>
              </w:rPr>
              <w:t>：</w:t>
            </w:r>
            <w:r w:rsidRPr="00F52804">
              <w:rPr>
                <w:rFonts w:ascii="宋体" w:hAnsi="宋体" w:cs="宋体" w:hint="eastAsia"/>
                <w:color w:val="000000" w:themeColor="text1"/>
                <w:kern w:val="0"/>
                <w:sz w:val="24"/>
              </w:rPr>
              <w:t>应正确、合理地认识新课程的理念，根据不同的教材特点，灵活地贯彻新课程的思想。传统的计算教学不是一无是处，应在讲清算理、掌握法则的基础上，通过一定量的训练，形成计算技能。学生数学知识的学习，仍然离不开已有的知识基础和生活经验，而学生已有知识基础在新知识的教学过程中应直接拿来使用，不应以让学生感受知识的形成过程为借口，在课堂上重复学习，影响学习的效益。</w:t>
            </w:r>
          </w:p>
          <w:p w:rsidR="00927EEE" w:rsidRPr="00F52804" w:rsidRDefault="00927EEE" w:rsidP="00927EEE">
            <w:pPr>
              <w:widowControl/>
              <w:shd w:val="clear" w:color="auto" w:fill="FFFFFF" w:themeFill="background1"/>
              <w:spacing w:line="440" w:lineRule="exact"/>
              <w:jc w:val="left"/>
              <w:rPr>
                <w:rFonts w:ascii="宋体" w:hAnsi="宋体" w:cs="宋体" w:hint="eastAsia"/>
                <w:color w:val="000000" w:themeColor="text1"/>
                <w:kern w:val="0"/>
                <w:sz w:val="24"/>
              </w:rPr>
            </w:pPr>
            <w:proofErr w:type="gramStart"/>
            <w:r w:rsidRPr="00EE7456">
              <w:rPr>
                <w:rFonts w:ascii="宋体" w:hAnsi="宋体" w:cs="宋体" w:hint="eastAsia"/>
                <w:color w:val="000000" w:themeColor="text1"/>
                <w:kern w:val="0"/>
                <w:sz w:val="24"/>
              </w:rPr>
              <w:t>虞建强</w:t>
            </w:r>
            <w:proofErr w:type="gramEnd"/>
            <w:r w:rsidRPr="00EE7456">
              <w:rPr>
                <w:rFonts w:ascii="宋体" w:hAnsi="宋体" w:cs="宋体" w:hint="eastAsia"/>
                <w:color w:val="000000" w:themeColor="text1"/>
                <w:kern w:val="0"/>
                <w:sz w:val="24"/>
              </w:rPr>
              <w:t>：</w:t>
            </w:r>
            <w:r w:rsidRPr="00F52804">
              <w:rPr>
                <w:rFonts w:ascii="宋体" w:hAnsi="宋体" w:cs="宋体" w:hint="eastAsia"/>
                <w:color w:val="000000" w:themeColor="text1"/>
                <w:kern w:val="0"/>
                <w:sz w:val="24"/>
              </w:rPr>
              <w:t>新课程下的教学重视学生的算法多样化，但不能一味地强调多样化而不进行优化。不优化的直接结果要么是学生一种方法都掌握不了，要么是新知识学习得不牢固。</w:t>
            </w:r>
          </w:p>
          <w:p w:rsidR="00927EEE" w:rsidRPr="00F52804" w:rsidRDefault="00927EEE" w:rsidP="00927EEE">
            <w:pPr>
              <w:widowControl/>
              <w:shd w:val="clear" w:color="auto" w:fill="FFFFFF" w:themeFill="background1"/>
              <w:spacing w:line="440" w:lineRule="exact"/>
              <w:jc w:val="left"/>
              <w:rPr>
                <w:rFonts w:ascii="宋体" w:hAnsi="宋体" w:cs="宋体" w:hint="eastAsia"/>
                <w:color w:val="000000" w:themeColor="text1"/>
                <w:kern w:val="0"/>
                <w:sz w:val="24"/>
              </w:rPr>
            </w:pPr>
            <w:r w:rsidRPr="00EE7456">
              <w:rPr>
                <w:rFonts w:ascii="宋体" w:hAnsi="宋体" w:cs="宋体" w:hint="eastAsia"/>
                <w:color w:val="000000" w:themeColor="text1"/>
                <w:kern w:val="0"/>
                <w:sz w:val="24"/>
              </w:rPr>
              <w:t>沈美芬:</w:t>
            </w:r>
            <w:r w:rsidRPr="00F52804">
              <w:rPr>
                <w:rFonts w:ascii="宋体" w:hAnsi="宋体" w:cs="宋体" w:hint="eastAsia"/>
                <w:color w:val="000000" w:themeColor="text1"/>
                <w:kern w:val="0"/>
                <w:sz w:val="24"/>
              </w:rPr>
              <w:t>要充分合理地使用教材。教材上所展示出来的情景事例，都是经过精心筛选出来的在一般情况下，没有必要再另搞一套。有的课堂，从导入到练习完全脱离了教材，看不到教材的影子，这种现象不好。</w:t>
            </w:r>
          </w:p>
          <w:p w:rsidR="00927EEE" w:rsidRPr="00F52804" w:rsidRDefault="00927EEE" w:rsidP="00927EEE">
            <w:pPr>
              <w:widowControl/>
              <w:shd w:val="clear" w:color="auto" w:fill="FFFFFF" w:themeFill="background1"/>
              <w:spacing w:line="440" w:lineRule="exact"/>
              <w:jc w:val="left"/>
              <w:rPr>
                <w:rFonts w:ascii="宋体" w:hAnsi="宋体" w:cs="宋体" w:hint="eastAsia"/>
                <w:color w:val="000000" w:themeColor="text1"/>
                <w:kern w:val="0"/>
                <w:sz w:val="24"/>
              </w:rPr>
            </w:pPr>
            <w:proofErr w:type="gramStart"/>
            <w:r w:rsidRPr="00EE7456">
              <w:rPr>
                <w:rFonts w:ascii="宋体" w:hAnsi="宋体" w:hint="eastAsia"/>
                <w:color w:val="000000" w:themeColor="text1"/>
                <w:sz w:val="24"/>
              </w:rPr>
              <w:t>汤锋霞</w:t>
            </w:r>
            <w:proofErr w:type="gramEnd"/>
            <w:r w:rsidRPr="00EE7456">
              <w:rPr>
                <w:rFonts w:ascii="宋体" w:hAnsi="宋体" w:hint="eastAsia"/>
                <w:color w:val="000000" w:themeColor="text1"/>
                <w:sz w:val="24"/>
              </w:rPr>
              <w:t>：今天</w:t>
            </w:r>
            <w:r w:rsidRPr="00F52804">
              <w:rPr>
                <w:rFonts w:ascii="宋体" w:hAnsi="宋体" w:cs="宋体" w:hint="eastAsia"/>
                <w:color w:val="000000" w:themeColor="text1"/>
                <w:kern w:val="0"/>
                <w:sz w:val="24"/>
              </w:rPr>
              <w:t>感到收获很大，既是因为三位执教老师精彩的课堂演绎，更是因为</w:t>
            </w:r>
            <w:proofErr w:type="gramStart"/>
            <w:r w:rsidRPr="00F52804">
              <w:rPr>
                <w:rFonts w:ascii="宋体" w:hAnsi="宋体" w:cs="宋体" w:hint="eastAsia"/>
                <w:color w:val="000000" w:themeColor="text1"/>
                <w:kern w:val="0"/>
                <w:sz w:val="24"/>
              </w:rPr>
              <w:t>备课组深刻</w:t>
            </w:r>
            <w:proofErr w:type="gramEnd"/>
            <w:r w:rsidRPr="00F52804">
              <w:rPr>
                <w:rFonts w:ascii="宋体" w:hAnsi="宋体" w:cs="宋体" w:hint="eastAsia"/>
                <w:color w:val="000000" w:themeColor="text1"/>
                <w:kern w:val="0"/>
                <w:sz w:val="24"/>
              </w:rPr>
              <w:t>的课后反思和理论分析。本次活动也充分说明，扎实、有效的教研活动，离不开丰富的课堂实践，更离不开深刻的理论</w:t>
            </w:r>
            <w:hyperlink r:id="rId5" w:tgtFrame="_blank" w:history="1">
              <w:r w:rsidRPr="00EE7456">
                <w:rPr>
                  <w:rFonts w:ascii="宋体" w:hAnsi="宋体" w:cs="宋体" w:hint="eastAsia"/>
                  <w:color w:val="000000" w:themeColor="text1"/>
                  <w:kern w:val="0"/>
                  <w:sz w:val="24"/>
                </w:rPr>
                <w:t>总结</w:t>
              </w:r>
            </w:hyperlink>
            <w:r w:rsidRPr="00F52804">
              <w:rPr>
                <w:rFonts w:ascii="宋体" w:hAnsi="宋体" w:cs="宋体" w:hint="eastAsia"/>
                <w:color w:val="000000" w:themeColor="text1"/>
                <w:kern w:val="0"/>
                <w:sz w:val="24"/>
              </w:rPr>
              <w:t>，理论指导下的自觉实践是搞好教学研究和新课程改革的关键。</w:t>
            </w:r>
          </w:p>
          <w:p w:rsidR="00927EEE" w:rsidRPr="00F52804" w:rsidRDefault="00927EEE" w:rsidP="00927EEE">
            <w:pPr>
              <w:widowControl/>
              <w:shd w:val="clear" w:color="auto" w:fill="FFFFFF" w:themeFill="background1"/>
              <w:spacing w:line="440" w:lineRule="exact"/>
              <w:jc w:val="left"/>
              <w:rPr>
                <w:rFonts w:ascii="宋体" w:hAnsi="宋体" w:cs="宋体" w:hint="eastAsia"/>
                <w:color w:val="000000" w:themeColor="text1"/>
                <w:kern w:val="0"/>
                <w:sz w:val="24"/>
              </w:rPr>
            </w:pPr>
            <w:r w:rsidRPr="00EE7456">
              <w:rPr>
                <w:rFonts w:ascii="宋体" w:hAnsi="宋体" w:cs="宋体" w:hint="eastAsia"/>
                <w:color w:val="000000" w:themeColor="text1"/>
                <w:kern w:val="0"/>
                <w:sz w:val="24"/>
              </w:rPr>
              <w:t>林亚飞：</w:t>
            </w:r>
            <w:r w:rsidRPr="00F52804">
              <w:rPr>
                <w:rFonts w:ascii="宋体" w:hAnsi="宋体" w:cs="宋体" w:hint="eastAsia"/>
                <w:color w:val="000000" w:themeColor="text1"/>
                <w:kern w:val="0"/>
                <w:sz w:val="24"/>
              </w:rPr>
              <w:t>新课程的计算教学，要做好两个坚持：</w:t>
            </w:r>
          </w:p>
          <w:p w:rsidR="00927EEE" w:rsidRPr="00F52804" w:rsidRDefault="00927EEE" w:rsidP="00927EEE">
            <w:pPr>
              <w:widowControl/>
              <w:shd w:val="clear" w:color="auto" w:fill="FFFFFF" w:themeFill="background1"/>
              <w:spacing w:line="440" w:lineRule="exact"/>
              <w:ind w:firstLineChars="200" w:firstLine="480"/>
              <w:jc w:val="left"/>
              <w:rPr>
                <w:rFonts w:ascii="宋体" w:hAnsi="宋体" w:cs="宋体" w:hint="eastAsia"/>
                <w:color w:val="000000" w:themeColor="text1"/>
                <w:kern w:val="0"/>
                <w:sz w:val="24"/>
              </w:rPr>
            </w:pPr>
            <w:r w:rsidRPr="00F52804">
              <w:rPr>
                <w:rFonts w:ascii="宋体" w:hAnsi="宋体" w:cs="宋体" w:hint="eastAsia"/>
                <w:color w:val="000000" w:themeColor="text1"/>
                <w:kern w:val="0"/>
                <w:sz w:val="24"/>
              </w:rPr>
              <w:t>一是坚持给具体的计算知识创设生动、有趣、富有挑战性的生活情境，充分丰富学生的数学经验。二是坚持扎扎实实搞好“双基”教学。。</w:t>
            </w:r>
          </w:p>
          <w:p w:rsidR="00927EEE" w:rsidRPr="00F52804" w:rsidRDefault="00927EEE" w:rsidP="00927EEE">
            <w:pPr>
              <w:widowControl/>
              <w:shd w:val="clear" w:color="auto" w:fill="FFFFFF" w:themeFill="background1"/>
              <w:spacing w:line="440" w:lineRule="exact"/>
              <w:jc w:val="left"/>
              <w:rPr>
                <w:rFonts w:ascii="宋体" w:hAnsi="宋体" w:cs="宋体" w:hint="eastAsia"/>
                <w:color w:val="000000" w:themeColor="text1"/>
                <w:kern w:val="0"/>
                <w:sz w:val="24"/>
              </w:rPr>
            </w:pPr>
            <w:r w:rsidRPr="00EE7456">
              <w:rPr>
                <w:rFonts w:ascii="宋体" w:hAnsi="宋体" w:hint="eastAsia"/>
                <w:color w:val="000000" w:themeColor="text1"/>
                <w:sz w:val="24"/>
              </w:rPr>
              <w:t>金美萍：</w:t>
            </w:r>
            <w:r w:rsidRPr="00F52804">
              <w:rPr>
                <w:rFonts w:ascii="宋体" w:hAnsi="宋体" w:cs="宋体" w:hint="eastAsia"/>
                <w:color w:val="000000" w:themeColor="text1"/>
                <w:kern w:val="0"/>
                <w:sz w:val="24"/>
              </w:rPr>
              <w:t>新课程</w:t>
            </w:r>
            <w:hyperlink r:id="rId6" w:tgtFrame="_blank" w:history="1">
              <w:r w:rsidRPr="00EE7456">
                <w:rPr>
                  <w:rFonts w:ascii="宋体" w:hAnsi="宋体" w:cs="宋体" w:hint="eastAsia"/>
                  <w:color w:val="000000" w:themeColor="text1"/>
                  <w:kern w:val="0"/>
                  <w:sz w:val="24"/>
                </w:rPr>
                <w:t>背景</w:t>
              </w:r>
            </w:hyperlink>
            <w:r w:rsidRPr="00F52804">
              <w:rPr>
                <w:rFonts w:ascii="宋体" w:hAnsi="宋体" w:cs="宋体" w:hint="eastAsia"/>
                <w:color w:val="000000" w:themeColor="text1"/>
                <w:kern w:val="0"/>
                <w:sz w:val="24"/>
              </w:rPr>
              <w:t>下的计算教学的价值取向应该向多元化拓展，应跳出认知技能的框框，不要把法则的得出，技能的形成作为唯一的目标。</w:t>
            </w:r>
            <w:r w:rsidRPr="00F52804">
              <w:rPr>
                <w:rFonts w:ascii="宋体" w:hAnsi="宋体" w:cs="宋体" w:hint="eastAsia"/>
                <w:color w:val="000000" w:themeColor="text1"/>
                <w:kern w:val="0"/>
                <w:sz w:val="24"/>
              </w:rPr>
              <w:lastRenderedPageBreak/>
              <w:t>数学观念、数学应用意识、解决问题的策略性和创造性、对问题解决过程的体验等都应成为计算教学目标的重要组成部分。一、实现估算在数学能力培养中的价值，重视估算意识。二、创设合适的教学情境，培养问题意识。三、体验问题解决的过程，增强应用意识。四、满足学生个性化的学习需要，提高创造意识。五、拓展解决问题的途径，强化策略意识。</w:t>
            </w:r>
          </w:p>
          <w:p w:rsidR="00927EEE" w:rsidRPr="00F52804" w:rsidRDefault="00927EEE" w:rsidP="00927EEE">
            <w:pPr>
              <w:widowControl/>
              <w:shd w:val="clear" w:color="auto" w:fill="FFFFFF" w:themeFill="background1"/>
              <w:spacing w:line="440" w:lineRule="exact"/>
              <w:jc w:val="left"/>
              <w:rPr>
                <w:rFonts w:ascii="宋体" w:hAnsi="宋体" w:cs="宋体" w:hint="eastAsia"/>
                <w:color w:val="000000" w:themeColor="text1"/>
                <w:kern w:val="0"/>
                <w:sz w:val="24"/>
              </w:rPr>
            </w:pPr>
            <w:r w:rsidRPr="00EE7456">
              <w:rPr>
                <w:rFonts w:ascii="宋体" w:hAnsi="宋体" w:cs="宋体" w:hint="eastAsia"/>
                <w:color w:val="000000" w:themeColor="text1"/>
                <w:kern w:val="0"/>
                <w:sz w:val="24"/>
              </w:rPr>
              <w:t>徐亚娟</w:t>
            </w:r>
            <w:r w:rsidRPr="00EE7456">
              <w:rPr>
                <w:rFonts w:ascii="宋体" w:hAnsi="宋体" w:hint="eastAsia"/>
                <w:color w:val="000000" w:themeColor="text1"/>
                <w:sz w:val="24"/>
              </w:rPr>
              <w:t>：</w:t>
            </w:r>
            <w:r w:rsidRPr="00F52804">
              <w:rPr>
                <w:rFonts w:ascii="宋体" w:hAnsi="宋体" w:cs="宋体" w:hint="eastAsia"/>
                <w:color w:val="000000" w:themeColor="text1"/>
                <w:kern w:val="0"/>
                <w:sz w:val="24"/>
              </w:rPr>
              <w:t>“一千个读者就有一千个哈姆雷特”，这话一点也不假，因为不同的人看问题、思考问题的角度不同，因而让我们享受到的课就有迥然的差异。当然，这种不同也只限于形式的不同，即呈现情景的不同，与学生交流方式的不同，例题探究顺序的不同，练习的题目类型不同，而他们的教学目标却是一致的，所要传达给学生的数学思想也是相同的。</w:t>
            </w:r>
          </w:p>
          <w:p w:rsidR="00927EEE" w:rsidRPr="00F52804" w:rsidRDefault="00927EEE" w:rsidP="00927EEE">
            <w:pPr>
              <w:widowControl/>
              <w:shd w:val="clear" w:color="auto" w:fill="FFFFFF" w:themeFill="background1"/>
              <w:spacing w:line="440" w:lineRule="exact"/>
              <w:jc w:val="left"/>
              <w:rPr>
                <w:rFonts w:ascii="宋体" w:hAnsi="宋体" w:cs="宋体" w:hint="eastAsia"/>
                <w:color w:val="000000" w:themeColor="text1"/>
                <w:kern w:val="0"/>
                <w:sz w:val="24"/>
              </w:rPr>
            </w:pPr>
            <w:r w:rsidRPr="00EE7456">
              <w:rPr>
                <w:rFonts w:ascii="宋体" w:hAnsi="宋体" w:cs="宋体" w:hint="eastAsia"/>
                <w:color w:val="000000" w:themeColor="text1"/>
                <w:kern w:val="0"/>
                <w:sz w:val="24"/>
              </w:rPr>
              <w:t>蒋明锋：</w:t>
            </w:r>
            <w:r w:rsidRPr="00F52804">
              <w:rPr>
                <w:rFonts w:ascii="宋体" w:hAnsi="宋体" w:cs="宋体" w:hint="eastAsia"/>
                <w:color w:val="000000" w:themeColor="text1"/>
                <w:kern w:val="0"/>
                <w:sz w:val="24"/>
              </w:rPr>
              <w:t>这三节课都注重了用数形结合的方法帮助学生找到“通分”的依据。在学习的过程中，可能学生会比较熟练地背诵分数加、减法的计算方法，但他们只是停留在记忆的层面。因此，这三节课教者分别都从数学本质的问题入手，即帮助学生找到这样做的根源所在（为什么）以及如何解释本原性的问题等。这些都是靠抽象的讲解所行不通的，将数与形结合起来，就将难度大大降低了学生学习的难度。其实不仅是“异分母分数加、减法”需要利用数形结合的思想，在大量的计算中，我们都需要借助形象的物体或图形帮助学生在直观的算理中建立抽象的算法。</w:t>
            </w:r>
          </w:p>
          <w:p w:rsidR="00927EEE" w:rsidRPr="00F52804" w:rsidRDefault="00927EEE" w:rsidP="00927EEE">
            <w:pPr>
              <w:widowControl/>
              <w:shd w:val="clear" w:color="auto" w:fill="FFFFFF" w:themeFill="background1"/>
              <w:spacing w:line="440" w:lineRule="exact"/>
              <w:jc w:val="left"/>
              <w:rPr>
                <w:rFonts w:ascii="宋体" w:hAnsi="宋体" w:cs="宋体" w:hint="eastAsia"/>
                <w:color w:val="000000" w:themeColor="text1"/>
                <w:kern w:val="0"/>
                <w:sz w:val="24"/>
              </w:rPr>
            </w:pPr>
            <w:proofErr w:type="gramStart"/>
            <w:r w:rsidRPr="00EE7456">
              <w:rPr>
                <w:rFonts w:ascii="宋体" w:hAnsi="宋体" w:cs="宋体" w:hint="eastAsia"/>
                <w:color w:val="000000" w:themeColor="text1"/>
                <w:kern w:val="0"/>
                <w:sz w:val="24"/>
              </w:rPr>
              <w:t>唐红芳</w:t>
            </w:r>
            <w:proofErr w:type="gramEnd"/>
            <w:r w:rsidRPr="00EE7456">
              <w:rPr>
                <w:rFonts w:ascii="宋体" w:hAnsi="宋体" w:cs="宋体" w:hint="eastAsia"/>
                <w:color w:val="000000" w:themeColor="text1"/>
                <w:kern w:val="0"/>
                <w:sz w:val="24"/>
              </w:rPr>
              <w:t>：</w:t>
            </w:r>
            <w:r w:rsidRPr="00F52804">
              <w:rPr>
                <w:rFonts w:ascii="宋体" w:hAnsi="宋体" w:cs="宋体" w:hint="eastAsia"/>
                <w:color w:val="000000" w:themeColor="text1"/>
                <w:kern w:val="0"/>
                <w:sz w:val="24"/>
              </w:rPr>
              <w:t>这三节课都注重了对学生估算意识及能力的培养。虽然估算是新课程改革的一大亮点，但在具体的教学中如何处理，什么时间合适，点到什么程度等却不是一言就能囊括的。而这三节课恰恰给我们提供了一个范例。教者利用学生受旧知的干扰或思维的定势等原因，将学生对“分母与分母相加、分子与分子相加”的误解引入课中，作为优势资源，让学生用估算的方法来辨别这样做的不可能性，从而否定这种算法的不合理性。</w:t>
            </w:r>
          </w:p>
          <w:p w:rsidR="00EE7456" w:rsidRPr="00927EEE" w:rsidRDefault="00EE7456" w:rsidP="00927EEE">
            <w:pPr>
              <w:widowControl/>
              <w:shd w:val="clear" w:color="auto" w:fill="EEEEEE"/>
              <w:spacing w:line="440" w:lineRule="exact"/>
              <w:jc w:val="left"/>
              <w:rPr>
                <w:rFonts w:ascii="宋体"/>
                <w:b/>
                <w:color w:val="000000" w:themeColor="text1"/>
                <w:sz w:val="24"/>
              </w:rPr>
            </w:pPr>
          </w:p>
        </w:tc>
      </w:tr>
      <w:tr w:rsidR="000878E4" w:rsidTr="00B40267">
        <w:trPr>
          <w:cantSplit/>
          <w:trHeight w:val="10866"/>
        </w:trPr>
        <w:tc>
          <w:tcPr>
            <w:tcW w:w="847" w:type="dxa"/>
            <w:textDirection w:val="tbRlV"/>
            <w:vAlign w:val="center"/>
          </w:tcPr>
          <w:p w:rsidR="000878E4" w:rsidRPr="00DA7769" w:rsidRDefault="000878E4" w:rsidP="00B40267">
            <w:pPr>
              <w:ind w:left="113" w:right="113"/>
              <w:jc w:val="center"/>
              <w:rPr>
                <w:rFonts w:ascii="宋体"/>
                <w:b/>
                <w:spacing w:val="40"/>
                <w:sz w:val="24"/>
              </w:rPr>
            </w:pPr>
            <w:r w:rsidRPr="00DA7769">
              <w:rPr>
                <w:rFonts w:ascii="宋体" w:hint="eastAsia"/>
                <w:b/>
                <w:spacing w:val="40"/>
                <w:sz w:val="24"/>
              </w:rPr>
              <w:lastRenderedPageBreak/>
              <w:t xml:space="preserve">主 要 内 容 摘 要  </w:t>
            </w:r>
          </w:p>
        </w:tc>
        <w:tc>
          <w:tcPr>
            <w:tcW w:w="7675" w:type="dxa"/>
            <w:gridSpan w:val="7"/>
            <w:vMerge/>
          </w:tcPr>
          <w:p w:rsidR="000878E4" w:rsidRPr="00CD176A" w:rsidRDefault="000878E4" w:rsidP="00B40267">
            <w:pPr>
              <w:widowControl/>
              <w:jc w:val="left"/>
              <w:rPr>
                <w:rFonts w:ascii="Arial" w:hAnsi="Arial" w:cs="Arial"/>
                <w:color w:val="000000" w:themeColor="text1"/>
                <w:kern w:val="0"/>
                <w:sz w:val="24"/>
              </w:rPr>
            </w:pPr>
          </w:p>
        </w:tc>
      </w:tr>
    </w:tbl>
    <w:p w:rsidR="000878E4" w:rsidRDefault="000878E4" w:rsidP="000878E4">
      <w:pPr>
        <w:ind w:firstLine="5190"/>
        <w:rPr>
          <w:rFonts w:ascii="宋体"/>
          <w:b/>
          <w:sz w:val="24"/>
          <w:u w:val="single"/>
        </w:rPr>
      </w:pPr>
      <w:r w:rsidRPr="00DE5659">
        <w:rPr>
          <w:rFonts w:ascii="宋体" w:hint="eastAsia"/>
          <w:b/>
          <w:sz w:val="24"/>
        </w:rPr>
        <w:t>填表人</w:t>
      </w:r>
      <w:r w:rsidRPr="00DE5659">
        <w:rPr>
          <w:rFonts w:ascii="宋体" w:hint="eastAsia"/>
          <w:b/>
          <w:sz w:val="24"/>
          <w:u w:val="single"/>
        </w:rPr>
        <w:t xml:space="preserve">  </w:t>
      </w:r>
      <w:r w:rsidR="00927EEE">
        <w:rPr>
          <w:rFonts w:ascii="宋体" w:hint="eastAsia"/>
          <w:b/>
          <w:sz w:val="24"/>
          <w:u w:val="single"/>
        </w:rPr>
        <w:t>马建青</w:t>
      </w:r>
      <w:r>
        <w:rPr>
          <w:rFonts w:ascii="宋体" w:hint="eastAsia"/>
          <w:b/>
          <w:sz w:val="24"/>
        </w:rPr>
        <w:t xml:space="preserve"> </w:t>
      </w:r>
      <w:r w:rsidRPr="00DE5659">
        <w:rPr>
          <w:rFonts w:ascii="宋体" w:hint="eastAsia"/>
          <w:b/>
          <w:sz w:val="24"/>
          <w:u w:val="single"/>
        </w:rPr>
        <w:t xml:space="preserve">   </w:t>
      </w:r>
    </w:p>
    <w:p w:rsidR="00E3740C" w:rsidRDefault="00927EEE"/>
    <w:sectPr w:rsidR="00E3740C" w:rsidSect="00FA79B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大标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C7469"/>
    <w:multiLevelType w:val="hybridMultilevel"/>
    <w:tmpl w:val="55482986"/>
    <w:lvl w:ilvl="0" w:tplc="799830BE">
      <w:start w:val="1"/>
      <w:numFmt w:val="japaneseCounting"/>
      <w:lvlText w:val="%1、"/>
      <w:lvlJc w:val="left"/>
      <w:pPr>
        <w:ind w:left="720" w:hanging="720"/>
      </w:pPr>
      <w:rPr>
        <w:rFonts w:ascii="宋体" w:eastAsia="宋体" w:hAnsi="Times New Roman" w:hint="default"/>
        <w:color w:val="000000" w:themeColor="text1"/>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5CD28F0"/>
    <w:multiLevelType w:val="hybridMultilevel"/>
    <w:tmpl w:val="2E9C8F74"/>
    <w:lvl w:ilvl="0" w:tplc="0D7CC76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878E4"/>
    <w:rsid w:val="000878E4"/>
    <w:rsid w:val="006730FA"/>
    <w:rsid w:val="00927EEE"/>
    <w:rsid w:val="00AA2C7E"/>
    <w:rsid w:val="00C464BA"/>
    <w:rsid w:val="00EE74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8E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78E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xxjxsj.cn/article/list_1_186.html" TargetMode="External"/><Relationship Id="rId5" Type="http://schemas.openxmlformats.org/officeDocument/2006/relationships/hyperlink" Target="http://www.xxjxsj.cn/article/list_1_36.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262</Words>
  <Characters>1499</Characters>
  <Application>Microsoft Office Word</Application>
  <DocSecurity>0</DocSecurity>
  <Lines>12</Lines>
  <Paragraphs>3</Paragraphs>
  <ScaleCrop>false</ScaleCrop>
  <Company/>
  <LinksUpToDate>false</LinksUpToDate>
  <CharactersWithSpaces>1758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2014-12-26T06:11:00Z</dcterms:created>
  <dcterms:modified xsi:type="dcterms:W3CDTF">2014-12-26T06:33:00Z</dcterms:modified>
</cp:coreProperties>
</file>