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新北区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教育科研基地申报材料目录</w:t>
      </w:r>
      <w:bookmarkStart w:id="0" w:name="_GoBack"/>
      <w:bookmarkEnd w:id="0"/>
    </w:p>
    <w:tbl>
      <w:tblPr>
        <w:tblStyle w:val="4"/>
        <w:tblW w:w="83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5951"/>
        <w:gridCol w:w="10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   目</w:t>
            </w:r>
          </w:p>
        </w:tc>
        <w:tc>
          <w:tcPr>
            <w:tcW w:w="59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具体内容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页码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概要材料</w:t>
            </w:r>
          </w:p>
        </w:tc>
        <w:tc>
          <w:tcPr>
            <w:tcW w:w="59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申报表1份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43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组织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管理</w:t>
            </w:r>
          </w:p>
        </w:tc>
        <w:tc>
          <w:tcPr>
            <w:tcW w:w="59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完整的基地发展规划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4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专门的教育科研管理部门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4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科学的教育科研管理制度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4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专用的教科研经费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43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队伍建设</w:t>
            </w:r>
          </w:p>
        </w:tc>
        <w:tc>
          <w:tcPr>
            <w:tcW w:w="59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五级梯队材料（汇总统计表、证书）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4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论文获奖材料（汇总统计表、证书）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4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论文发表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材料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汇总统计表、知网或万方或维普等网站截图，不需提供论文复印件）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43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课题研究</w:t>
            </w:r>
          </w:p>
        </w:tc>
        <w:tc>
          <w:tcPr>
            <w:tcW w:w="59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区级及以上课题研究材料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4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教科研成果奖证书（仅限教科研获奖，未获奖不需要提供材料）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交流示范</w:t>
            </w:r>
          </w:p>
        </w:tc>
        <w:tc>
          <w:tcPr>
            <w:tcW w:w="59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承办区级以上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教育科研活动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或在区级以上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教育科研活动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中交流展示的材料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特色建设</w:t>
            </w:r>
          </w:p>
        </w:tc>
        <w:tc>
          <w:tcPr>
            <w:tcW w:w="59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本次申报暂不提供材料，等两年后评审示范教育科研基地时再提供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cs="Times New Roman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Times New Roman" w:hAnsi="Times New Roman" w:eastAsia="仿宋" w:cs="Times New Roman"/>
        <w:sz w:val="28"/>
        <w:szCs w:val="28"/>
      </w:rPr>
    </w:pPr>
  </w:p>
  <w:p>
    <w:pPr>
      <w:pStyle w:val="2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F25"/>
    <w:rsid w:val="00001DA0"/>
    <w:rsid w:val="00002569"/>
    <w:rsid w:val="00093D8A"/>
    <w:rsid w:val="000B1105"/>
    <w:rsid w:val="000C105C"/>
    <w:rsid w:val="000C590B"/>
    <w:rsid w:val="000C6C9A"/>
    <w:rsid w:val="001A3FDA"/>
    <w:rsid w:val="0022547E"/>
    <w:rsid w:val="00265BA9"/>
    <w:rsid w:val="002955BA"/>
    <w:rsid w:val="002B4F99"/>
    <w:rsid w:val="002C2473"/>
    <w:rsid w:val="00312F25"/>
    <w:rsid w:val="00325817"/>
    <w:rsid w:val="00342FD3"/>
    <w:rsid w:val="00355226"/>
    <w:rsid w:val="0036686C"/>
    <w:rsid w:val="003C7ADA"/>
    <w:rsid w:val="003F051B"/>
    <w:rsid w:val="004034B5"/>
    <w:rsid w:val="00460823"/>
    <w:rsid w:val="004913E8"/>
    <w:rsid w:val="00491651"/>
    <w:rsid w:val="004D18DD"/>
    <w:rsid w:val="004D5AED"/>
    <w:rsid w:val="0055388F"/>
    <w:rsid w:val="005B2943"/>
    <w:rsid w:val="005D23DC"/>
    <w:rsid w:val="005D6A75"/>
    <w:rsid w:val="006256A6"/>
    <w:rsid w:val="00652DE6"/>
    <w:rsid w:val="006817EF"/>
    <w:rsid w:val="007B6F72"/>
    <w:rsid w:val="009B5285"/>
    <w:rsid w:val="009F20E8"/>
    <w:rsid w:val="00A47036"/>
    <w:rsid w:val="00A91D35"/>
    <w:rsid w:val="00B51627"/>
    <w:rsid w:val="00BD4465"/>
    <w:rsid w:val="00C26F89"/>
    <w:rsid w:val="00C31400"/>
    <w:rsid w:val="00C65FEF"/>
    <w:rsid w:val="00DA06E2"/>
    <w:rsid w:val="00DC7A01"/>
    <w:rsid w:val="00DD542A"/>
    <w:rsid w:val="00E3602E"/>
    <w:rsid w:val="00E96B60"/>
    <w:rsid w:val="00EA6A6F"/>
    <w:rsid w:val="00F233B3"/>
    <w:rsid w:val="00FB03D4"/>
    <w:rsid w:val="00FC1E02"/>
    <w:rsid w:val="00FC78D4"/>
    <w:rsid w:val="00FD4FA5"/>
    <w:rsid w:val="17EC3889"/>
    <w:rsid w:val="40767CEF"/>
    <w:rsid w:val="7248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Header Char"/>
    <w:basedOn w:val="5"/>
    <w:link w:val="3"/>
    <w:qFormat/>
    <w:locked/>
    <w:uiPriority w:val="99"/>
    <w:rPr>
      <w:sz w:val="18"/>
      <w:szCs w:val="18"/>
    </w:rPr>
  </w:style>
  <w:style w:type="character" w:customStyle="1" w:styleId="8">
    <w:name w:val="Footer Char"/>
    <w:basedOn w:val="5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54</Words>
  <Characters>313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2019-05-20T02:27:00Z</dcterms:created>
  <dc:creator>韩志祥</dc:creator>
  <cp:lastModifiedBy>第九周期元素</cp:lastModifiedBy>
  <dcterms:modified xsi:type="dcterms:W3CDTF">2020-10-02T01:03:40Z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