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8D" w:rsidRPr="009243FF" w:rsidRDefault="00B1698D" w:rsidP="009243FF">
      <w:pPr>
        <w:spacing w:line="36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9243FF">
        <w:rPr>
          <w:rFonts w:asciiTheme="minorEastAsia" w:hAnsiTheme="minorEastAsia" w:hint="eastAsia"/>
          <w:b/>
          <w:sz w:val="28"/>
          <w:szCs w:val="28"/>
        </w:rPr>
        <w:t>附件3：新北区第四批优秀教师培育室考核评估细则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4584"/>
        <w:gridCol w:w="699"/>
        <w:gridCol w:w="711"/>
        <w:gridCol w:w="707"/>
        <w:gridCol w:w="1185"/>
      </w:tblGrid>
      <w:tr w:rsidR="004B4F3E" w:rsidRPr="007C5255" w:rsidTr="004B4F3E">
        <w:trPr>
          <w:trHeight w:val="305"/>
          <w:jc w:val="center"/>
        </w:trPr>
        <w:tc>
          <w:tcPr>
            <w:tcW w:w="373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评估项目</w:t>
            </w:r>
          </w:p>
        </w:tc>
        <w:tc>
          <w:tcPr>
            <w:tcW w:w="2690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评估指标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评估办法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指标分值</w:t>
            </w:r>
          </w:p>
        </w:tc>
        <w:tc>
          <w:tcPr>
            <w:tcW w:w="415" w:type="pct"/>
          </w:tcPr>
          <w:p w:rsidR="004B4F3E" w:rsidRPr="007C5255" w:rsidRDefault="004B4F3E" w:rsidP="004B4F3E">
            <w:pPr>
              <w:spacing w:line="240" w:lineRule="exac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自评得分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评估</w:t>
            </w:r>
            <w:r w:rsidRPr="007C5255">
              <w:rPr>
                <w:rFonts w:asciiTheme="minorEastAsia" w:hAnsiTheme="minorEastAsia" w:hint="eastAsia"/>
                <w:szCs w:val="21"/>
              </w:rPr>
              <w:t>得分</w:t>
            </w: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 w:val="restar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过程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管理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（5分）</w:t>
            </w: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720B20">
            <w:pPr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1.1活动方案文本规范，计划性强、序列性高、系统性佳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4B4F3E" w:rsidRPr="007C5255" w:rsidRDefault="004B4F3E" w:rsidP="00720B20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查阅资料</w:t>
            </w:r>
          </w:p>
          <w:p w:rsidR="004B4F3E" w:rsidRPr="007C5255" w:rsidRDefault="004B4F3E" w:rsidP="00720B20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查阅网站</w:t>
            </w:r>
          </w:p>
          <w:p w:rsidR="004B4F3E" w:rsidRPr="007C5255" w:rsidRDefault="004B4F3E" w:rsidP="00720B20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访谈调研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7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720B20">
            <w:pPr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1.2方案实施适度灵活，能根据运行情况作动态调整、上报及时，备案规范、完整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121EAF">
        <w:trPr>
          <w:trHeight w:val="427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720B20">
            <w:pPr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1.3过程管理文本规范，制度化高、规范性好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720B2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1.4成员考核有据可依，阶段实施，诊断把脉、反思改进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121EAF">
        <w:trPr>
          <w:trHeight w:val="497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720B2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1.5经费使用规范合理，账目清晰。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 w:val="restar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课题（</w:t>
            </w:r>
            <w:r w:rsidRPr="007C5255">
              <w:rPr>
                <w:rFonts w:asciiTheme="minorEastAsia" w:hAnsiTheme="minorEastAsia" w:hint="eastAsia"/>
                <w:szCs w:val="21"/>
              </w:rPr>
              <w:t>项目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研究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（32分）</w:t>
            </w: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B169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2.1围绕学校教育教学所面临的实际问题展开研究，针对性强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过程跟踪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访谈调研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查阅资料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集中答辩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B169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2.2注重教育教学前沿理论与科学方法对</w:t>
            </w:r>
            <w:r>
              <w:rPr>
                <w:rFonts w:asciiTheme="minorEastAsia" w:hAnsiTheme="minorEastAsia" w:hint="eastAsia"/>
                <w:szCs w:val="21"/>
              </w:rPr>
              <w:t>课题（</w:t>
            </w:r>
            <w:r w:rsidRPr="007C5255">
              <w:rPr>
                <w:rFonts w:asciiTheme="minorEastAsia" w:hAnsiTheme="minorEastAsia" w:hint="eastAsia"/>
                <w:szCs w:val="21"/>
              </w:rPr>
              <w:t>项目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Pr="007C5255">
              <w:rPr>
                <w:rFonts w:asciiTheme="minorEastAsia" w:hAnsiTheme="minorEastAsia" w:hint="eastAsia"/>
                <w:szCs w:val="21"/>
              </w:rPr>
              <w:t>研究的支持性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720B2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2.3注重教育教学专家的智力支持和专业指导，每学期邀请专家指导至少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Pr="007C5255">
              <w:rPr>
                <w:rFonts w:asciiTheme="minorEastAsia" w:hAnsiTheme="minorEastAsia" w:hint="eastAsia"/>
                <w:szCs w:val="21"/>
              </w:rPr>
              <w:t>次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B169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2.4能够基于</w:t>
            </w:r>
            <w:r>
              <w:rPr>
                <w:rFonts w:asciiTheme="minorEastAsia" w:hAnsiTheme="minorEastAsia" w:hint="eastAsia"/>
                <w:szCs w:val="21"/>
              </w:rPr>
              <w:t>课题（</w:t>
            </w:r>
            <w:r w:rsidRPr="007C5255">
              <w:rPr>
                <w:rFonts w:asciiTheme="minorEastAsia" w:hAnsiTheme="minorEastAsia" w:hint="eastAsia"/>
                <w:szCs w:val="21"/>
              </w:rPr>
              <w:t>项目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Pr="007C5255">
              <w:rPr>
                <w:rFonts w:asciiTheme="minorEastAsia" w:hAnsiTheme="minorEastAsia" w:hint="eastAsia"/>
                <w:szCs w:val="21"/>
              </w:rPr>
              <w:t>研究的各项子目标，分阶段、有层次地实施</w:t>
            </w:r>
            <w:r>
              <w:rPr>
                <w:rFonts w:asciiTheme="minorEastAsia" w:hAnsiTheme="minorEastAsia" w:hint="eastAsia"/>
                <w:szCs w:val="21"/>
              </w:rPr>
              <w:t>课题（</w:t>
            </w:r>
            <w:r w:rsidRPr="007C5255">
              <w:rPr>
                <w:rFonts w:asciiTheme="minorEastAsia" w:hAnsiTheme="minorEastAsia" w:hint="eastAsia"/>
                <w:szCs w:val="21"/>
              </w:rPr>
              <w:t>项目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Pr="007C5255">
              <w:rPr>
                <w:rFonts w:asciiTheme="minorEastAsia" w:hAnsiTheme="minorEastAsia" w:hint="eastAsia"/>
                <w:szCs w:val="21"/>
              </w:rPr>
              <w:t>研究的具体过程，并实现研究过程及内容的网络化管理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B169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2.5注重</w:t>
            </w:r>
            <w:r>
              <w:rPr>
                <w:rFonts w:asciiTheme="minorEastAsia" w:hAnsiTheme="minorEastAsia" w:hint="eastAsia"/>
                <w:szCs w:val="21"/>
              </w:rPr>
              <w:t>课题（</w:t>
            </w:r>
            <w:r w:rsidRPr="007C5255">
              <w:rPr>
                <w:rFonts w:asciiTheme="minorEastAsia" w:hAnsiTheme="minorEastAsia" w:hint="eastAsia"/>
                <w:szCs w:val="21"/>
              </w:rPr>
              <w:t>项目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Pr="007C5255">
              <w:rPr>
                <w:rFonts w:asciiTheme="minorEastAsia" w:hAnsiTheme="minorEastAsia" w:hint="eastAsia"/>
                <w:szCs w:val="21"/>
              </w:rPr>
              <w:t>研究过程开展的实效性和深入性，梳理出与一般教育教学行为的差异和不同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B169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2.6基于科学的测量评价手段和方式，立足于学生的发展，显现</w:t>
            </w:r>
            <w:r>
              <w:rPr>
                <w:rFonts w:asciiTheme="minorEastAsia" w:hAnsiTheme="minorEastAsia" w:hint="eastAsia"/>
                <w:szCs w:val="21"/>
              </w:rPr>
              <w:t>课题（</w:t>
            </w:r>
            <w:r w:rsidRPr="007C5255">
              <w:rPr>
                <w:rFonts w:asciiTheme="minorEastAsia" w:hAnsiTheme="minorEastAsia" w:hint="eastAsia"/>
                <w:szCs w:val="21"/>
              </w:rPr>
              <w:t>项目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Pr="007C5255">
              <w:rPr>
                <w:rFonts w:asciiTheme="minorEastAsia" w:hAnsiTheme="minorEastAsia" w:hint="eastAsia"/>
                <w:szCs w:val="21"/>
              </w:rPr>
              <w:t>研究对学生成长的促进作用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B169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2.7基于反思、提炼，总结、归纳得出：本</w:t>
            </w:r>
            <w:r>
              <w:rPr>
                <w:rFonts w:asciiTheme="minorEastAsia" w:hAnsiTheme="minorEastAsia" w:hint="eastAsia"/>
                <w:szCs w:val="21"/>
              </w:rPr>
              <w:t>课题（</w:t>
            </w:r>
            <w:r w:rsidRPr="007C5255">
              <w:rPr>
                <w:rFonts w:asciiTheme="minorEastAsia" w:hAnsiTheme="minorEastAsia" w:hint="eastAsia"/>
                <w:szCs w:val="21"/>
              </w:rPr>
              <w:t>项目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Pr="007C5255">
              <w:rPr>
                <w:rFonts w:asciiTheme="minorEastAsia" w:hAnsiTheme="minorEastAsia" w:hint="eastAsia"/>
                <w:szCs w:val="21"/>
              </w:rPr>
              <w:t>研究领域，教育教学实践的“校本化方案和内容”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720B2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2.8基于反思、提炼，总结、归纳得出：本</w:t>
            </w:r>
            <w:r>
              <w:rPr>
                <w:rFonts w:asciiTheme="minorEastAsia" w:hAnsiTheme="minorEastAsia" w:hint="eastAsia"/>
                <w:szCs w:val="21"/>
              </w:rPr>
              <w:t>课题（</w:t>
            </w:r>
            <w:r w:rsidRPr="007C5255">
              <w:rPr>
                <w:rFonts w:asciiTheme="minorEastAsia" w:hAnsiTheme="minorEastAsia" w:hint="eastAsia"/>
                <w:szCs w:val="21"/>
              </w:rPr>
              <w:t>项目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Pr="007C5255">
              <w:rPr>
                <w:rFonts w:asciiTheme="minorEastAsia" w:hAnsiTheme="minorEastAsia" w:hint="eastAsia"/>
                <w:szCs w:val="21"/>
              </w:rPr>
              <w:t>研究领域，教育教学实践的“校本化方法和策略”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 w:val="restar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成员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培养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（24分）</w:t>
            </w: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B169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3.1</w:t>
            </w:r>
            <w:r>
              <w:rPr>
                <w:rFonts w:asciiTheme="minorEastAsia" w:hAnsiTheme="minorEastAsia" w:hint="eastAsia"/>
                <w:szCs w:val="21"/>
              </w:rPr>
              <w:t>培养内容系统性强、重点突出、针对性高，凸显培育</w:t>
            </w:r>
            <w:r w:rsidRPr="007C5255">
              <w:rPr>
                <w:rFonts w:asciiTheme="minorEastAsia" w:hAnsiTheme="minorEastAsia" w:hint="eastAsia"/>
                <w:szCs w:val="21"/>
              </w:rPr>
              <w:t>室的独到定位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。为每位成员制定个性化的培养目标和方案。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过程跟踪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访谈调研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查阅资料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集中答辩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720B2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3.2</w:t>
            </w:r>
            <w:r w:rsidRPr="007C5255">
              <w:rPr>
                <w:rFonts w:asciiTheme="minorEastAsia" w:hAnsiTheme="minorEastAsia" w:hint="eastAsia"/>
                <w:color w:val="000000"/>
                <w:szCs w:val="21"/>
              </w:rPr>
              <w:t>帮助成员</w:t>
            </w:r>
            <w:r w:rsidRPr="007C5255">
              <w:rPr>
                <w:rFonts w:asciiTheme="minorEastAsia" w:hAnsiTheme="minorEastAsia" w:hint="eastAsia"/>
                <w:szCs w:val="21"/>
              </w:rPr>
              <w:t>夯实学科知识结构，提高学科教学功底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</w:t>
            </w:r>
            <w:r w:rsidRPr="007C5255">
              <w:rPr>
                <w:rFonts w:asciiTheme="minorEastAsia" w:hAnsiTheme="minorEastAsia" w:hint="eastAsia"/>
                <w:szCs w:val="21"/>
              </w:rPr>
              <w:t>拓宽教育教学视野，形成自身教育理解，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以学习笔记、教学随笔的方式呈现。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720B2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3.3帮助成员提高应用现代教育技术与课程整合能力，掌握多项实用技能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720B2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3.4帮助成员提高课程研发能力以及课程实施水平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，形成教学设计文本以及微课视频系列，实现网络化资源呈现。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720B2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3.5帮助成员形成一定的教学风格，体现一定的教学艺术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。基于教学实录（视频或文本），进行分析和提炼。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720B2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3.6引导成员自主反思、查找问题、合理调适、扬长补短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</w:t>
            </w:r>
            <w:r w:rsidRPr="007C5255">
              <w:rPr>
                <w:rFonts w:asciiTheme="minorEastAsia" w:hAnsiTheme="minorEastAsia" w:hint="eastAsia"/>
                <w:szCs w:val="21"/>
              </w:rPr>
              <w:t>自觉总结实践经验，提升实践智慧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，形成教学反思。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720B2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3.7尊重成员专业发展的差异性和个性化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，每位成员都有所发展。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720B2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3.8对成员的评价方法科学、手段多样，评价结果客观公正性与人文激励性兼顾。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121EAF">
        <w:trPr>
          <w:trHeight w:val="557"/>
          <w:jc w:val="center"/>
        </w:trPr>
        <w:tc>
          <w:tcPr>
            <w:tcW w:w="373" w:type="pct"/>
            <w:vMerge w:val="restar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lastRenderedPageBreak/>
              <w:t>推广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辐射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（15分）</w:t>
            </w: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B169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4.1发挥</w:t>
            </w:r>
            <w:r>
              <w:rPr>
                <w:rFonts w:asciiTheme="minorEastAsia" w:hAnsiTheme="minorEastAsia" w:hint="eastAsia"/>
                <w:szCs w:val="21"/>
              </w:rPr>
              <w:t>优秀</w:t>
            </w:r>
            <w:r w:rsidRPr="007C5255">
              <w:rPr>
                <w:rFonts w:asciiTheme="minorEastAsia" w:hAnsiTheme="minorEastAsia" w:hint="eastAsia"/>
                <w:szCs w:val="21"/>
              </w:rPr>
              <w:t>教师</w:t>
            </w:r>
            <w:r>
              <w:rPr>
                <w:rFonts w:asciiTheme="minorEastAsia" w:hAnsiTheme="minorEastAsia" w:hint="eastAsia"/>
                <w:szCs w:val="21"/>
              </w:rPr>
              <w:t>培育</w:t>
            </w:r>
            <w:r w:rsidRPr="007C5255">
              <w:rPr>
                <w:rFonts w:asciiTheme="minorEastAsia" w:hAnsiTheme="minorEastAsia" w:hint="eastAsia"/>
                <w:szCs w:val="21"/>
              </w:rPr>
              <w:t>室网站的</w:t>
            </w:r>
            <w:r>
              <w:rPr>
                <w:rFonts w:asciiTheme="minorEastAsia" w:hAnsiTheme="minorEastAsia" w:hint="eastAsia"/>
                <w:szCs w:val="21"/>
              </w:rPr>
              <w:t>成果辐射</w:t>
            </w:r>
            <w:r w:rsidRPr="007C5255">
              <w:rPr>
                <w:rFonts w:asciiTheme="minorEastAsia" w:hAnsiTheme="minorEastAsia" w:hint="eastAsia"/>
                <w:szCs w:val="21"/>
              </w:rPr>
              <w:t>和资源生成作用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过程跟踪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访谈调研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查阅资料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集中答辩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B169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4.2在本</w:t>
            </w:r>
            <w:r>
              <w:rPr>
                <w:rFonts w:asciiTheme="minorEastAsia" w:hAnsiTheme="minorEastAsia" w:hint="eastAsia"/>
                <w:szCs w:val="21"/>
              </w:rPr>
              <w:t>课题（</w:t>
            </w:r>
            <w:r w:rsidRPr="007C5255">
              <w:rPr>
                <w:rFonts w:asciiTheme="minorEastAsia" w:hAnsiTheme="minorEastAsia" w:hint="eastAsia"/>
                <w:szCs w:val="21"/>
              </w:rPr>
              <w:t>项目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Pr="007C5255">
              <w:rPr>
                <w:rFonts w:asciiTheme="minorEastAsia" w:hAnsiTheme="minorEastAsia" w:hint="eastAsia"/>
                <w:szCs w:val="21"/>
              </w:rPr>
              <w:t>研究领域，形成指导学校教育教学实践的“校本化方法和策略指导手册”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B169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4.3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以研讨会、报告会、名教师论坛、公开教学等形式在全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范围内介绍、推广</w:t>
            </w:r>
            <w:r>
              <w:rPr>
                <w:rFonts w:asciiTheme="minorEastAsia" w:hAnsiTheme="minorEastAsia" w:hint="eastAsia"/>
                <w:szCs w:val="21"/>
              </w:rPr>
              <w:t>课题（</w:t>
            </w:r>
            <w:r w:rsidRPr="007C5255">
              <w:rPr>
                <w:rFonts w:asciiTheme="minorEastAsia" w:hAnsiTheme="minorEastAsia" w:hint="eastAsia"/>
                <w:szCs w:val="21"/>
              </w:rPr>
              <w:t>项目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研究成果以及成员培养经验。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B169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4.4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领衔人在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新北区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同学科（类型）教师中的引领、辐射作用得到强化，每学年在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全区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范围内开设公开课或做学术讲座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（不包括培育室内部）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至少1次。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B169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4.5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培育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室成员在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全区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同学科（类型）教师中的榜样、示范作用得到体现，每学年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培育室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成员在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全区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范围内开设公开课或做学术讲座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（不包括培育室内部）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至少2次。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105"/>
          <w:jc w:val="center"/>
        </w:trPr>
        <w:tc>
          <w:tcPr>
            <w:tcW w:w="373" w:type="pct"/>
            <w:vMerge w:val="restar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成果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显现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（24分）</w:t>
            </w: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15388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5.1</w:t>
            </w:r>
            <w:r w:rsidRPr="00153889">
              <w:rPr>
                <w:rFonts w:asciiTheme="minorEastAsia" w:hAnsiTheme="minorEastAsia" w:hint="eastAsia"/>
                <w:szCs w:val="21"/>
              </w:rPr>
              <w:t>领衔人每</w:t>
            </w:r>
            <w:r>
              <w:rPr>
                <w:rFonts w:asciiTheme="minorEastAsia" w:hAnsiTheme="minorEastAsia" w:hint="eastAsia"/>
                <w:szCs w:val="21"/>
              </w:rPr>
              <w:t>学</w:t>
            </w:r>
            <w:r w:rsidRPr="00153889">
              <w:rPr>
                <w:rFonts w:asciiTheme="minorEastAsia" w:hAnsiTheme="minorEastAsia" w:hint="eastAsia"/>
                <w:szCs w:val="21"/>
              </w:rPr>
              <w:t>年开一节区</w:t>
            </w:r>
            <w:r>
              <w:rPr>
                <w:rFonts w:asciiTheme="minorEastAsia" w:hAnsiTheme="minorEastAsia" w:hint="eastAsia"/>
                <w:szCs w:val="21"/>
              </w:rPr>
              <w:t>级及</w:t>
            </w:r>
            <w:r w:rsidRPr="00153889">
              <w:rPr>
                <w:rFonts w:asciiTheme="minorEastAsia" w:hAnsiTheme="minorEastAsia" w:hint="eastAsia"/>
                <w:szCs w:val="21"/>
              </w:rPr>
              <w:t>以上公开课或作区以上教师培训讲座或组织区以上论坛（报告会、研讨会）一次，听本培育室成员课不少于15节。工作周期内</w:t>
            </w:r>
            <w:r w:rsidRPr="007C5255">
              <w:rPr>
                <w:rFonts w:asciiTheme="minorEastAsia" w:hAnsiTheme="minorEastAsia" w:hint="eastAsia"/>
                <w:color w:val="000000"/>
                <w:szCs w:val="21"/>
              </w:rPr>
              <w:t>，</w:t>
            </w:r>
            <w:r>
              <w:rPr>
                <w:rFonts w:asciiTheme="minorEastAsia" w:hAnsiTheme="minorEastAsia" w:hint="eastAsia"/>
                <w:szCs w:val="21"/>
              </w:rPr>
              <w:t>培育室</w:t>
            </w:r>
            <w:r w:rsidRPr="007C5255">
              <w:rPr>
                <w:rFonts w:asciiTheme="minorEastAsia" w:hAnsiTheme="minorEastAsia" w:hint="eastAsia"/>
                <w:szCs w:val="21"/>
              </w:rPr>
              <w:t>成员开设区</w:t>
            </w:r>
            <w:r>
              <w:rPr>
                <w:rFonts w:asciiTheme="minorEastAsia" w:hAnsiTheme="minorEastAsia" w:hint="eastAsia"/>
                <w:szCs w:val="21"/>
              </w:rPr>
              <w:t>级</w:t>
            </w:r>
            <w:r w:rsidRPr="007C5255">
              <w:rPr>
                <w:rFonts w:asciiTheme="minorEastAsia" w:hAnsiTheme="minorEastAsia" w:hint="eastAsia"/>
                <w:szCs w:val="21"/>
              </w:rPr>
              <w:t>及以上公开课至少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Pr="007C5255">
              <w:rPr>
                <w:rFonts w:asciiTheme="minorEastAsia" w:hAnsiTheme="minorEastAsia" w:hint="eastAsia"/>
                <w:szCs w:val="21"/>
              </w:rPr>
              <w:t>节。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过程跟踪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查阅资料</w:t>
            </w:r>
          </w:p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集中答辩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288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7174EC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5.2</w:t>
            </w:r>
            <w:r>
              <w:rPr>
                <w:rFonts w:asciiTheme="minorEastAsia" w:hAnsiTheme="minorEastAsia" w:hint="eastAsia"/>
                <w:szCs w:val="21"/>
              </w:rPr>
              <w:t>课题（</w:t>
            </w:r>
            <w:r w:rsidRPr="007C5255">
              <w:rPr>
                <w:rFonts w:asciiTheme="minorEastAsia" w:hAnsiTheme="minorEastAsia" w:hint="eastAsia"/>
                <w:szCs w:val="21"/>
              </w:rPr>
              <w:t>项目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Pr="007C5255">
              <w:rPr>
                <w:rFonts w:asciiTheme="minorEastAsia" w:hAnsiTheme="minorEastAsia" w:hint="eastAsia"/>
                <w:szCs w:val="21"/>
              </w:rPr>
              <w:t>研究通过</w:t>
            </w:r>
            <w:r>
              <w:rPr>
                <w:rFonts w:asciiTheme="minorEastAsia" w:hAnsiTheme="minorEastAsia" w:hint="eastAsia"/>
                <w:szCs w:val="21"/>
              </w:rPr>
              <w:t>区级及以上课题鉴定或获得区</w:t>
            </w:r>
            <w:r w:rsidRPr="007C5255">
              <w:rPr>
                <w:rFonts w:asciiTheme="minorEastAsia" w:hAnsiTheme="minorEastAsia" w:hint="eastAsia"/>
                <w:szCs w:val="21"/>
              </w:rPr>
              <w:t>级及以上教学研究成果奖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288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60245F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5.3出版基于</w:t>
            </w:r>
            <w:r>
              <w:rPr>
                <w:rFonts w:asciiTheme="minorEastAsia" w:hAnsiTheme="minorEastAsia" w:hint="eastAsia"/>
                <w:szCs w:val="21"/>
              </w:rPr>
              <w:t>课题（</w:t>
            </w:r>
            <w:r w:rsidRPr="007C5255">
              <w:rPr>
                <w:rFonts w:asciiTheme="minorEastAsia" w:hAnsiTheme="minorEastAsia" w:hint="eastAsia"/>
                <w:szCs w:val="21"/>
              </w:rPr>
              <w:t>项目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Pr="007C5255">
              <w:rPr>
                <w:rFonts w:asciiTheme="minorEastAsia" w:hAnsiTheme="minorEastAsia" w:hint="eastAsia"/>
                <w:szCs w:val="21"/>
              </w:rPr>
              <w:t>研究的教育教学论著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；或在省级会课中获得一等奖两次以上。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505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F9683D" w:rsidRDefault="004B4F3E" w:rsidP="007174EC">
            <w:pPr>
              <w:spacing w:line="240" w:lineRule="exact"/>
              <w:rPr>
                <w:rFonts w:asciiTheme="minorEastAsia" w:hAnsiTheme="minorEastAsia"/>
                <w:b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5.4工作周期内，围绕研究项目，领衔人</w:t>
            </w:r>
            <w:r>
              <w:rPr>
                <w:rFonts w:asciiTheme="minorEastAsia" w:hAnsiTheme="minorEastAsia" w:hint="eastAsia"/>
                <w:szCs w:val="21"/>
              </w:rPr>
              <w:t>和</w:t>
            </w:r>
            <w:r w:rsidRPr="007C5255">
              <w:rPr>
                <w:rFonts w:asciiTheme="minorEastAsia" w:hAnsiTheme="minorEastAsia" w:hint="eastAsia"/>
                <w:szCs w:val="21"/>
              </w:rPr>
              <w:t>成员在市级及以上刊物至少发表论文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 w:rsidRPr="007C5255">
              <w:rPr>
                <w:rFonts w:asciiTheme="minorEastAsia" w:hAnsiTheme="minorEastAsia" w:hint="eastAsia"/>
                <w:szCs w:val="21"/>
              </w:rPr>
              <w:t>篇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288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B169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5.5</w:t>
            </w:r>
            <w:r>
              <w:rPr>
                <w:rFonts w:asciiTheme="minorEastAsia" w:hAnsiTheme="minorEastAsia" w:hint="eastAsia"/>
                <w:szCs w:val="21"/>
              </w:rPr>
              <w:t>培育</w:t>
            </w:r>
            <w:r w:rsidRPr="007C5255">
              <w:rPr>
                <w:rFonts w:asciiTheme="minorEastAsia" w:hAnsiTheme="minorEastAsia" w:hint="eastAsia"/>
                <w:szCs w:val="21"/>
              </w:rPr>
              <w:t>室50%及以上成员在我市、区</w:t>
            </w:r>
            <w:r w:rsidRPr="007C525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优秀教师成长“五级梯队”中相应提升一级，或成为在某一方面学有专长、术有专攻的公认的区域“知名教师”。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525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288"/>
          <w:jc w:val="center"/>
        </w:trPr>
        <w:tc>
          <w:tcPr>
            <w:tcW w:w="373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附加分（5分）</w:t>
            </w:r>
          </w:p>
        </w:tc>
        <w:tc>
          <w:tcPr>
            <w:tcW w:w="2690" w:type="pct"/>
            <w:shd w:val="clear" w:color="auto" w:fill="auto"/>
          </w:tcPr>
          <w:p w:rsidR="004B4F3E" w:rsidRPr="007C5255" w:rsidRDefault="004B4F3E" w:rsidP="0015388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153889">
              <w:rPr>
                <w:rFonts w:asciiTheme="minorEastAsia" w:hAnsiTheme="minorEastAsia" w:hint="eastAsia"/>
                <w:szCs w:val="21"/>
              </w:rPr>
              <w:t>培育室</w:t>
            </w:r>
            <w:r>
              <w:rPr>
                <w:rFonts w:asciiTheme="minorEastAsia" w:hAnsiTheme="minorEastAsia" w:hint="eastAsia"/>
                <w:szCs w:val="21"/>
              </w:rPr>
              <w:t>在运行期间形成具有自身特色的培育模式，且取得明显成效。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B4F3E" w:rsidRPr="00153889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1-5</w:t>
            </w:r>
          </w:p>
        </w:tc>
        <w:tc>
          <w:tcPr>
            <w:tcW w:w="415" w:type="pct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4F3E" w:rsidRPr="007C5255" w:rsidTr="004B4F3E">
        <w:trPr>
          <w:trHeight w:val="288"/>
          <w:jc w:val="center"/>
        </w:trPr>
        <w:tc>
          <w:tcPr>
            <w:tcW w:w="373" w:type="pct"/>
            <w:shd w:val="clear" w:color="auto" w:fill="auto"/>
            <w:vAlign w:val="center"/>
          </w:tcPr>
          <w:p w:rsidR="004B4F3E" w:rsidRPr="009243FF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243FF">
              <w:rPr>
                <w:rFonts w:asciiTheme="minorEastAsia" w:hAnsiTheme="minorEastAsia" w:hint="eastAsia"/>
                <w:b/>
                <w:szCs w:val="21"/>
              </w:rPr>
              <w:t>总得分</w:t>
            </w:r>
          </w:p>
        </w:tc>
        <w:tc>
          <w:tcPr>
            <w:tcW w:w="3517" w:type="pct"/>
            <w:gridSpan w:val="3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pct"/>
            <w:shd w:val="clear" w:color="auto" w:fill="auto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5" w:type="pct"/>
            <w:shd w:val="clear" w:color="auto" w:fill="auto"/>
          </w:tcPr>
          <w:p w:rsidR="004B4F3E" w:rsidRPr="007C5255" w:rsidRDefault="004B4F3E" w:rsidP="00720B2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B1698D" w:rsidRPr="007C5255" w:rsidRDefault="00B1698D" w:rsidP="00B1698D">
      <w:pPr>
        <w:spacing w:line="260" w:lineRule="exact"/>
        <w:rPr>
          <w:rFonts w:asciiTheme="minorEastAsia" w:hAnsiTheme="minorEastAsia"/>
          <w:szCs w:val="21"/>
        </w:rPr>
      </w:pPr>
    </w:p>
    <w:p w:rsidR="00B1698D" w:rsidRPr="007C5255" w:rsidRDefault="00B1698D" w:rsidP="00B1698D">
      <w:pPr>
        <w:spacing w:line="260" w:lineRule="exact"/>
        <w:ind w:firstLineChars="5550" w:firstLine="11655"/>
        <w:rPr>
          <w:rFonts w:asciiTheme="minorEastAsia" w:hAnsiTheme="minorEastAsia"/>
          <w:szCs w:val="21"/>
        </w:rPr>
      </w:pPr>
      <w:r w:rsidRPr="007C5255">
        <w:rPr>
          <w:rFonts w:asciiTheme="minorEastAsia" w:hAnsiTheme="minorEastAsia" w:hint="eastAsia"/>
          <w:szCs w:val="21"/>
        </w:rPr>
        <w:t>评评估人签名：</w:t>
      </w:r>
      <w:r w:rsidRPr="007C5255">
        <w:rPr>
          <w:rFonts w:asciiTheme="minorEastAsia" w:hAnsiTheme="minorEastAsia" w:hint="eastAsia"/>
          <w:szCs w:val="21"/>
          <w:u w:val="single"/>
        </w:rPr>
        <w:t xml:space="preserve">                </w:t>
      </w:r>
      <w:r w:rsidR="009243FF">
        <w:rPr>
          <w:rFonts w:asciiTheme="minorEastAsia" w:hAnsiTheme="minorEastAsia" w:hint="eastAsia"/>
          <w:szCs w:val="21"/>
          <w:u w:val="single"/>
        </w:rPr>
        <w:t xml:space="preserve">                                                      </w:t>
      </w:r>
    </w:p>
    <w:p w:rsidR="009243FF" w:rsidRDefault="009243FF" w:rsidP="00B1698D">
      <w:pPr>
        <w:spacing w:line="260" w:lineRule="exact"/>
        <w:rPr>
          <w:rFonts w:asciiTheme="minorEastAsia" w:hAnsiTheme="minorEastAsia"/>
          <w:szCs w:val="21"/>
        </w:rPr>
      </w:pPr>
    </w:p>
    <w:p w:rsidR="00B1698D" w:rsidRPr="007C5255" w:rsidRDefault="00B1698D" w:rsidP="00B1698D">
      <w:pPr>
        <w:spacing w:line="260" w:lineRule="exact"/>
        <w:rPr>
          <w:rFonts w:asciiTheme="minorEastAsia" w:hAnsiTheme="minorEastAsia"/>
          <w:szCs w:val="21"/>
        </w:rPr>
      </w:pPr>
      <w:r w:rsidRPr="007C5255">
        <w:rPr>
          <w:rFonts w:asciiTheme="minorEastAsia" w:hAnsiTheme="minorEastAsia" w:hint="eastAsia"/>
          <w:szCs w:val="21"/>
        </w:rPr>
        <w:t>注：</w:t>
      </w:r>
    </w:p>
    <w:p w:rsidR="00B1698D" w:rsidRPr="007C5255" w:rsidRDefault="00B1698D" w:rsidP="00B1698D">
      <w:pPr>
        <w:spacing w:line="260" w:lineRule="exact"/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85</w:t>
      </w:r>
      <w:r w:rsidRPr="007C5255">
        <w:rPr>
          <w:rFonts w:asciiTheme="minorEastAsia" w:hAnsiTheme="minorEastAsia" w:hint="eastAsia"/>
          <w:szCs w:val="21"/>
        </w:rPr>
        <w:t>分及以上为优秀， 60～</w:t>
      </w:r>
      <w:r>
        <w:rPr>
          <w:rFonts w:asciiTheme="minorEastAsia" w:hAnsiTheme="minorEastAsia" w:hint="eastAsia"/>
          <w:szCs w:val="21"/>
        </w:rPr>
        <w:t>84</w:t>
      </w:r>
      <w:r w:rsidRPr="007C5255">
        <w:rPr>
          <w:rFonts w:asciiTheme="minorEastAsia" w:hAnsiTheme="minorEastAsia" w:hint="eastAsia"/>
          <w:szCs w:val="21"/>
        </w:rPr>
        <w:t>分为合格，59分及以下为不合格。</w:t>
      </w:r>
    </w:p>
    <w:p w:rsidR="00B1698D" w:rsidRPr="007C5255" w:rsidRDefault="00B1698D" w:rsidP="00B1698D">
      <w:pPr>
        <w:rPr>
          <w:rFonts w:asciiTheme="minorEastAsia" w:hAnsiTheme="minorEastAsia"/>
          <w:b/>
          <w:color w:val="FF0000"/>
          <w:szCs w:val="21"/>
        </w:rPr>
      </w:pPr>
    </w:p>
    <w:p w:rsidR="00B1698D" w:rsidRPr="007174EC" w:rsidRDefault="00B1698D" w:rsidP="00B1698D">
      <w:pPr>
        <w:rPr>
          <w:rFonts w:asciiTheme="minorEastAsia" w:hAnsiTheme="minorEastAsia"/>
          <w:szCs w:val="21"/>
        </w:rPr>
      </w:pPr>
    </w:p>
    <w:p w:rsidR="00B1698D" w:rsidRPr="00774C25" w:rsidRDefault="00B1698D" w:rsidP="00B1698D"/>
    <w:p w:rsidR="00BC76A7" w:rsidRPr="00B1698D" w:rsidRDefault="00BC76A7"/>
    <w:sectPr w:rsidR="00BC76A7" w:rsidRPr="00B1698D" w:rsidSect="00974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1BE" w:rsidRDefault="006E41BE" w:rsidP="0060245F">
      <w:r>
        <w:separator/>
      </w:r>
    </w:p>
  </w:endnote>
  <w:endnote w:type="continuationSeparator" w:id="1">
    <w:p w:rsidR="006E41BE" w:rsidRDefault="006E41BE" w:rsidP="00602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1BE" w:rsidRDefault="006E41BE" w:rsidP="0060245F">
      <w:r>
        <w:separator/>
      </w:r>
    </w:p>
  </w:footnote>
  <w:footnote w:type="continuationSeparator" w:id="1">
    <w:p w:rsidR="006E41BE" w:rsidRDefault="006E41BE" w:rsidP="006024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98D"/>
    <w:rsid w:val="00121EAF"/>
    <w:rsid w:val="00150B57"/>
    <w:rsid w:val="00153889"/>
    <w:rsid w:val="001B27B4"/>
    <w:rsid w:val="004B4F3E"/>
    <w:rsid w:val="0056070A"/>
    <w:rsid w:val="0060245F"/>
    <w:rsid w:val="006107ED"/>
    <w:rsid w:val="006E41BE"/>
    <w:rsid w:val="007174EC"/>
    <w:rsid w:val="007D1E16"/>
    <w:rsid w:val="009243FF"/>
    <w:rsid w:val="00B1698D"/>
    <w:rsid w:val="00BC76A7"/>
    <w:rsid w:val="00F9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2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24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2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24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300</Words>
  <Characters>1713</Characters>
  <Application>Microsoft Office Word</Application>
  <DocSecurity>0</DocSecurity>
  <Lines>14</Lines>
  <Paragraphs>4</Paragraphs>
  <ScaleCrop>false</ScaleCrop>
  <Company>china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cp:lastPrinted>2019-06-20T01:37:00Z</cp:lastPrinted>
  <dcterms:created xsi:type="dcterms:W3CDTF">2019-05-31T07:14:00Z</dcterms:created>
  <dcterms:modified xsi:type="dcterms:W3CDTF">2019-06-20T01:50:00Z</dcterms:modified>
</cp:coreProperties>
</file>