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460" w:lineRule="exact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12"/>
        <w:spacing w:line="460" w:lineRule="exact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天宁区教师发展中心20</w:t>
      </w:r>
      <w:r>
        <w:rPr>
          <w:rFonts w:ascii="黑体" w:hAnsi="黑体" w:eastAsia="黑体" w:cs="黑体"/>
          <w:b/>
          <w:bCs/>
          <w:sz w:val="30"/>
          <w:szCs w:val="30"/>
        </w:rPr>
        <w:t>23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－202</w:t>
      </w:r>
      <w:r>
        <w:rPr>
          <w:rFonts w:ascii="黑体" w:hAnsi="黑体" w:eastAsia="黑体" w:cs="黑体"/>
          <w:b/>
          <w:bCs/>
          <w:sz w:val="30"/>
          <w:szCs w:val="30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学年度第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Hans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学期小学英语学科教研训工作计划</w:t>
      </w:r>
    </w:p>
    <w:p>
      <w:pPr>
        <w:spacing w:line="460" w:lineRule="exact"/>
        <w:jc w:val="center"/>
        <w:rPr>
          <w:rFonts w:ascii="楷体" w:hAnsi="楷体" w:eastAsia="楷体" w:cs="黑体"/>
          <w:color w:val="000000"/>
          <w:szCs w:val="21"/>
        </w:rPr>
      </w:pPr>
      <w:r>
        <w:rPr>
          <w:rFonts w:hint="eastAsia" w:ascii="楷体" w:hAnsi="楷体" w:eastAsia="楷体" w:cs="黑体"/>
          <w:color w:val="000000"/>
          <w:szCs w:val="21"/>
        </w:rPr>
        <w:t>（20</w:t>
      </w:r>
      <w:r>
        <w:rPr>
          <w:rFonts w:ascii="楷体" w:hAnsi="楷体" w:eastAsia="楷体" w:cs="黑体"/>
          <w:color w:val="000000"/>
          <w:szCs w:val="21"/>
        </w:rPr>
        <w:t>23</w:t>
      </w:r>
      <w:r>
        <w:rPr>
          <w:rFonts w:hint="eastAsia" w:ascii="楷体" w:hAnsi="楷体" w:eastAsia="楷体" w:cs="黑体"/>
          <w:color w:val="000000"/>
          <w:szCs w:val="21"/>
        </w:rPr>
        <w:t>年</w:t>
      </w:r>
      <w:r>
        <w:rPr>
          <w:rFonts w:ascii="楷体" w:hAnsi="楷体" w:eastAsia="楷体" w:cs="黑体"/>
          <w:color w:val="000000"/>
          <w:szCs w:val="21"/>
        </w:rPr>
        <w:t>8</w:t>
      </w:r>
      <w:r>
        <w:rPr>
          <w:rFonts w:hint="eastAsia" w:ascii="楷体" w:hAnsi="楷体" w:eastAsia="楷体" w:cs="黑体"/>
          <w:color w:val="000000"/>
          <w:szCs w:val="21"/>
        </w:rPr>
        <w:t>月---202</w:t>
      </w:r>
      <w:r>
        <w:rPr>
          <w:rFonts w:ascii="楷体" w:hAnsi="楷体" w:eastAsia="楷体" w:cs="黑体"/>
          <w:color w:val="000000"/>
          <w:szCs w:val="21"/>
        </w:rPr>
        <w:t>4</w:t>
      </w:r>
      <w:r>
        <w:rPr>
          <w:rFonts w:hint="eastAsia" w:ascii="楷体" w:hAnsi="楷体" w:eastAsia="楷体" w:cs="黑体"/>
          <w:color w:val="000000"/>
          <w:szCs w:val="21"/>
        </w:rPr>
        <w:t>年</w:t>
      </w:r>
      <w:r>
        <w:rPr>
          <w:rFonts w:ascii="楷体" w:hAnsi="楷体" w:eastAsia="楷体" w:cs="黑体"/>
          <w:color w:val="000000"/>
          <w:szCs w:val="21"/>
        </w:rPr>
        <w:t>1</w:t>
      </w:r>
      <w:r>
        <w:rPr>
          <w:rFonts w:hint="eastAsia" w:ascii="楷体" w:hAnsi="楷体" w:eastAsia="楷体" w:cs="黑体"/>
          <w:color w:val="000000"/>
          <w:szCs w:val="21"/>
        </w:rPr>
        <w:t>月）</w:t>
      </w:r>
    </w:p>
    <w:p>
      <w:pPr>
        <w:spacing w:line="460" w:lineRule="exact"/>
        <w:jc w:val="center"/>
        <w:rPr>
          <w:rFonts w:ascii="宋体" w:hAnsi="宋体"/>
          <w:b/>
          <w:szCs w:val="21"/>
        </w:rPr>
      </w:pP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一、指导思想</w:t>
      </w:r>
    </w:p>
    <w:p>
      <w:pPr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本学期小学英语教研工作继续基于“双减时代 减负增效”的发展原则，本着“发展教师、发展学生”的教研方针，</w:t>
      </w:r>
      <w:r>
        <w:rPr>
          <w:rFonts w:asciiTheme="minorEastAsia" w:hAnsiTheme="minorEastAsia" w:eastAsiaTheme="minorEastAsia"/>
          <w:szCs w:val="21"/>
        </w:rPr>
        <w:t>围绕“</w:t>
      </w:r>
      <w:r>
        <w:rPr>
          <w:rFonts w:hint="eastAsia" w:asciiTheme="minorEastAsia" w:hAnsiTheme="minorEastAsia" w:eastAsiaTheme="minorEastAsia"/>
          <w:szCs w:val="21"/>
        </w:rPr>
        <w:t>学业质量整体提升</w:t>
      </w:r>
      <w:r>
        <w:rPr>
          <w:rFonts w:asciiTheme="minorEastAsia" w:hAnsiTheme="minorEastAsia" w:eastAsiaTheme="minorEastAsia"/>
          <w:szCs w:val="21"/>
        </w:rPr>
        <w:t>”、</w:t>
      </w:r>
      <w:r>
        <w:rPr>
          <w:rFonts w:hint="eastAsia" w:asciiTheme="minorEastAsia" w:hAnsiTheme="minorEastAsia" w:eastAsiaTheme="minorEastAsia"/>
          <w:szCs w:val="21"/>
          <w:lang w:eastAsia="zh-Hans"/>
        </w:rPr>
        <w:t>“</w:t>
      </w:r>
      <w:r>
        <w:rPr>
          <w:rFonts w:hint="eastAsia" w:asciiTheme="minorEastAsia" w:hAnsiTheme="minorEastAsia" w:eastAsiaTheme="minorEastAsia"/>
          <w:szCs w:val="21"/>
          <w:lang w:val="en-US" w:eastAsia="zh-Hans"/>
        </w:rPr>
        <w:t>课堂教学提质增效</w:t>
      </w:r>
      <w:r>
        <w:rPr>
          <w:rFonts w:hint="eastAsia" w:asciiTheme="minorEastAsia" w:hAnsiTheme="minorEastAsia" w:eastAsiaTheme="minorEastAsia"/>
          <w:szCs w:val="21"/>
          <w:lang w:eastAsia="zh-Hans"/>
        </w:rPr>
        <w:t>”</w:t>
      </w:r>
      <w:r>
        <w:rPr>
          <w:rFonts w:asciiTheme="minorEastAsia" w:hAnsiTheme="minorEastAsia" w:eastAsiaTheme="minorEastAsia"/>
          <w:szCs w:val="21"/>
        </w:rPr>
        <w:t>和“</w:t>
      </w:r>
      <w:r>
        <w:rPr>
          <w:rFonts w:hint="eastAsia" w:asciiTheme="minorEastAsia" w:hAnsiTheme="minorEastAsia" w:eastAsiaTheme="minorEastAsia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教师队伍提质培优</w:t>
      </w:r>
      <w:r>
        <w:rPr>
          <w:rFonts w:asciiTheme="minorEastAsia" w:hAnsiTheme="minorEastAsia" w:eastAsiaTheme="minorEastAsia"/>
          <w:szCs w:val="21"/>
        </w:rPr>
        <w:t>”</w:t>
      </w:r>
      <w:r>
        <w:rPr>
          <w:rFonts w:hint="eastAsia" w:asciiTheme="minorEastAsia" w:hAnsiTheme="minorEastAsia" w:eastAsiaTheme="minorEastAsia"/>
          <w:szCs w:val="21"/>
          <w:lang w:val="en-US" w:eastAsia="zh-Hans"/>
        </w:rPr>
        <w:t>三</w:t>
      </w:r>
      <w:r>
        <w:rPr>
          <w:rFonts w:asciiTheme="minorEastAsia" w:hAnsiTheme="minorEastAsia" w:eastAsiaTheme="minorEastAsia"/>
          <w:szCs w:val="21"/>
        </w:rPr>
        <w:t>大工作，</w:t>
      </w:r>
      <w:r>
        <w:rPr>
          <w:rFonts w:hint="eastAsia" w:asciiTheme="minorEastAsia" w:hAnsiTheme="minorEastAsia" w:eastAsiaTheme="minorEastAsia"/>
          <w:szCs w:val="21"/>
          <w:lang w:eastAsia="zh-Hans"/>
        </w:rPr>
        <w:t>聚焦“新课标”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  <w:lang w:eastAsia="zh-Hans"/>
        </w:rPr>
        <w:t>“作业设计”</w:t>
      </w:r>
      <w:r>
        <w:rPr>
          <w:rFonts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  <w:lang w:eastAsia="zh-Hans"/>
        </w:rPr>
        <w:t>“命题设计”等多个方面</w:t>
      </w:r>
      <w:r>
        <w:rPr>
          <w:rFonts w:hint="eastAsia" w:asciiTheme="minorEastAsia" w:hAnsiTheme="minorEastAsia" w:eastAsiaTheme="minorEastAsia"/>
          <w:szCs w:val="21"/>
        </w:rPr>
        <w:t>，在保持学生的学习兴趣的同时，加强学生的语言能力、文化意识、思维品质和学习能力的培养，以促进区域学科教学质量的整体提升和学生</w:t>
      </w:r>
      <w:r>
        <w:rPr>
          <w:rFonts w:hint="eastAsia" w:asciiTheme="minorEastAsia" w:hAnsiTheme="minorEastAsia" w:eastAsiaTheme="minorEastAsia"/>
          <w:szCs w:val="21"/>
          <w:lang w:eastAsia="zh-Hans"/>
        </w:rPr>
        <w:t>的</w:t>
      </w:r>
      <w:r>
        <w:rPr>
          <w:rFonts w:hint="eastAsia" w:asciiTheme="minorEastAsia" w:hAnsiTheme="minorEastAsia" w:eastAsiaTheme="minorEastAsia"/>
          <w:szCs w:val="21"/>
        </w:rPr>
        <w:t>全人发展。</w:t>
      </w:r>
    </w:p>
    <w:p>
      <w:pPr>
        <w:pStyle w:val="4"/>
        <w:kinsoku w:val="0"/>
        <w:overflowPunct w:val="0"/>
        <w:spacing w:before="0" w:beforeAutospacing="0" w:after="0" w:afterAutospacing="0" w:line="420" w:lineRule="exact"/>
        <w:ind w:firstLine="420" w:firstLineChars="200"/>
        <w:textAlignment w:val="baseline"/>
        <w:rPr>
          <w:rFonts w:cs="Times New Roman" w:asciiTheme="minorEastAsia" w:hAnsiTheme="minorEastAsia" w:eastAsiaTheme="minorEastAsia"/>
          <w:b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sz w:val="21"/>
          <w:szCs w:val="21"/>
        </w:rPr>
        <w:t>二、主要工作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216"/>
        <w:gridCol w:w="8705"/>
      </w:tblGrid>
      <w:tr>
        <w:tc>
          <w:tcPr>
            <w:tcW w:w="1108" w:type="dxa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</w:rPr>
              <w:t>大工作</w:t>
            </w:r>
          </w:p>
        </w:tc>
        <w:tc>
          <w:tcPr>
            <w:tcW w:w="4216" w:type="dxa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十大行动</w:t>
            </w:r>
          </w:p>
        </w:tc>
        <w:tc>
          <w:tcPr>
            <w:tcW w:w="8705" w:type="dxa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</w:rPr>
              <w:t>具体措施</w:t>
            </w:r>
          </w:p>
        </w:tc>
      </w:tr>
      <w:tr>
        <w:tc>
          <w:tcPr>
            <w:tcW w:w="1108" w:type="dxa"/>
            <w:vMerge w:val="restart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</w:rPr>
              <w:t>学业质量整体提升</w:t>
            </w:r>
          </w:p>
        </w:tc>
        <w:tc>
          <w:tcPr>
            <w:tcW w:w="4216" w:type="dxa"/>
          </w:tcPr>
          <w:p>
            <w:pPr>
              <w:spacing w:line="420" w:lineRule="exac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Hans"/>
              </w:rPr>
              <w:t>聚焦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新课标，完善与实施校本课程纲要。</w:t>
            </w:r>
          </w:p>
        </w:tc>
        <w:tc>
          <w:tcPr>
            <w:tcW w:w="8705" w:type="dxa"/>
          </w:tcPr>
          <w:p>
            <w:pPr>
              <w:spacing w:line="42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（1）学习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前期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市教材培训相关视频和文件，</w:t>
            </w:r>
            <w:r>
              <w:rPr>
                <w:rFonts w:asciiTheme="majorEastAsia" w:hAnsiTheme="majorEastAsia" w:eastAsiaTheme="majorEastAsia"/>
                <w:szCs w:val="21"/>
              </w:rPr>
              <w:t>熟悉和了解《课程标准》中各学段、各单元的学业质量标准，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落实教研组集体备课常规</w:t>
            </w:r>
            <w:r>
              <w:rPr>
                <w:rFonts w:asciiTheme="majorEastAsia" w:hAnsiTheme="majorEastAsia" w:eastAsiaTheme="majorEastAsia"/>
                <w:szCs w:val="21"/>
              </w:rPr>
              <w:t>；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）做好资源的收集、汇总并根据校情、学情对课程纲要进行合理的调整；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）五年内新教师做到人手一册，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做到心中有纲，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常规调研中将关注课程纲要的落实；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）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开展教研组校本教研开放活动，以打通课表到课堂的最后一公里，促进各教研组依标教学；</w:t>
            </w:r>
          </w:p>
        </w:tc>
      </w:tr>
      <w:tr>
        <w:tc>
          <w:tcPr>
            <w:tcW w:w="1108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>
            <w:pPr>
              <w:spacing w:line="420" w:lineRule="exac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default" w:asciiTheme="minorEastAsia" w:hAnsiTheme="minorEastAsia" w:eastAsiaTheme="minorEastAsia"/>
                <w:b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.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Hans"/>
              </w:rPr>
              <w:t>聚焦作业</w:t>
            </w:r>
            <w:r>
              <w:rPr>
                <w:rFonts w:asciiTheme="majorEastAsia" w:hAnsiTheme="majorEastAsia" w:eastAsiaTheme="majorEastAsia"/>
                <w:b/>
                <w:szCs w:val="21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Hans"/>
              </w:rPr>
              <w:t>提升基于标准的作业设计和讲评能力。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705" w:type="dxa"/>
          </w:tcPr>
          <w:p>
            <w:pPr>
              <w:spacing w:line="42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（1）切实</w:t>
            </w:r>
            <w:r>
              <w:rPr>
                <w:rFonts w:asciiTheme="majorEastAsia" w:hAnsiTheme="majorEastAsia" w:eastAsiaTheme="majorEastAsia"/>
                <w:szCs w:val="21"/>
              </w:rPr>
              <w:t>用好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市教研室提供的</w:t>
            </w:r>
            <w:r>
              <w:rPr>
                <w:rFonts w:asciiTheme="majorEastAsia" w:hAnsiTheme="majorEastAsia" w:eastAsiaTheme="majorEastAsia"/>
                <w:szCs w:val="21"/>
              </w:rPr>
              <w:t>“四、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五</w:t>
            </w:r>
            <w:r>
              <w:rPr>
                <w:rFonts w:asciiTheme="majorEastAsia" w:hAnsiTheme="majorEastAsia" w:eastAsiaTheme="majorEastAsia"/>
                <w:szCs w:val="21"/>
              </w:rPr>
              <w:t>年级摘星作业”；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）以“摘星作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sz w:val="21"/>
                <w:szCs w:val="21"/>
              </w:rPr>
              <w:t>业”为样本</w:t>
            </w:r>
            <w:r>
              <w:rPr>
                <w:rFonts w:asciiTheme="majorEastAsia" w:hAnsiTheme="majorEastAsia" w:eastAsiaTheme="majorEastAsia"/>
                <w:b w:val="0"/>
                <w:bCs w:val="0"/>
                <w:sz w:val="21"/>
                <w:szCs w:val="21"/>
              </w:rPr>
              <w:t>精心设计其他年级单元作业；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sz w:val="21"/>
                <w:szCs w:val="21"/>
              </w:rPr>
              <w:t>）</w:t>
            </w:r>
            <w:r>
              <w:rPr>
                <w:rFonts w:asciiTheme="majorEastAsia" w:hAnsiTheme="majorEastAsia" w:eastAsiaTheme="majorEastAsia"/>
                <w:b w:val="0"/>
                <w:bCs w:val="0"/>
                <w:sz w:val="21"/>
                <w:szCs w:val="21"/>
              </w:rPr>
              <w:t>完善作业质量评价与管理，依据学生作业结果反思完善作业设计，归类整理典型错误，提高评讲效率，上好作业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（练习、试卷）</w:t>
            </w:r>
            <w:r>
              <w:rPr>
                <w:rFonts w:asciiTheme="majorEastAsia" w:hAnsiTheme="majorEastAsia" w:eastAsiaTheme="majorEastAsia"/>
                <w:b w:val="0"/>
                <w:bCs w:val="0"/>
                <w:sz w:val="21"/>
                <w:szCs w:val="21"/>
              </w:rPr>
              <w:t>讲评课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c>
          <w:tcPr>
            <w:tcW w:w="1108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>
            <w:pPr>
              <w:spacing w:line="420" w:lineRule="exac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default" w:asciiTheme="minorEastAsia" w:hAnsiTheme="minorEastAsia" w:eastAsiaTheme="minorEastAsia"/>
                <w:b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.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Hans"/>
              </w:rPr>
              <w:t>聚焦命题</w:t>
            </w:r>
            <w:r>
              <w:rPr>
                <w:rFonts w:asciiTheme="majorEastAsia" w:hAnsiTheme="majorEastAsia" w:eastAsiaTheme="majorEastAsia"/>
                <w:b/>
                <w:szCs w:val="21"/>
                <w:lang w:eastAsia="zh-Hans"/>
              </w:rPr>
              <w:t>，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提升学校教研组命题能力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。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70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（1）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组织学科负责人对英语理解和表达能力的测试维度、测试情境、测量工具等进行系统化梳理，并依此建立起一个科学的、便于实践操作的各年段学业质量评价模型</w:t>
            </w:r>
            <w:r>
              <w:rPr>
                <w:rFonts w:asciiTheme="majorEastAsia" w:hAnsiTheme="majorEastAsia" w:eastAsiaTheme="majorEastAsia"/>
                <w:bCs/>
                <w:snapToGrid w:val="0"/>
                <w:color w:val="000000"/>
                <w:kern w:val="0"/>
                <w:szCs w:val="21"/>
              </w:rPr>
              <w:t>；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组织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教师开展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Hans"/>
              </w:rPr>
              <w:t>关于“读题</w:t>
            </w:r>
            <w:r>
              <w:rPr>
                <w:rFonts w:hint="default" w:asciiTheme="majorEastAsia" w:hAnsiTheme="majorEastAsia" w:eastAsiaTheme="majorEastAsia"/>
                <w:szCs w:val="21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Hans"/>
              </w:rPr>
              <w:t>命题</w:t>
            </w:r>
            <w:r>
              <w:rPr>
                <w:rFonts w:hint="default" w:asciiTheme="majorEastAsia" w:hAnsiTheme="majorEastAsia" w:eastAsiaTheme="majorEastAsia"/>
                <w:szCs w:val="21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Hans"/>
              </w:rPr>
              <w:t>讲题”的序列化培训</w:t>
            </w:r>
            <w:r>
              <w:rPr>
                <w:rFonts w:hint="default" w:asciiTheme="majorEastAsia" w:hAnsiTheme="majorEastAsia" w:eastAsiaTheme="majorEastAsia"/>
                <w:szCs w:val="21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并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形成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如何在日常教学中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提升学生的语言能力</w:t>
            </w:r>
            <w:r>
              <w:rPr>
                <w:rFonts w:asciiTheme="majorEastAsia" w:hAnsiTheme="majorEastAsia" w:eastAsiaTheme="majorEastAsia"/>
                <w:szCs w:val="21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学习策略的具体方案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逐步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提升自身的解题能力和命题能力；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bCs/>
                <w:snapToGrid w:val="0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）本学期重点关注省测年级的课堂教学效益提升，提升教师对于省测命题导向、命题意图和题型特点的把握，从听</w:t>
            </w:r>
            <w:r>
              <w:rPr>
                <w:rFonts w:asciiTheme="majorEastAsia" w:hAnsiTheme="majorEastAsia" w:eastAsiaTheme="majorEastAsia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读</w:t>
            </w:r>
            <w:r>
              <w:rPr>
                <w:rFonts w:asciiTheme="majorEastAsia" w:hAnsiTheme="majorEastAsia" w:eastAsiaTheme="majorEastAsia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写三个层面推进学生的语言学习；</w:t>
            </w:r>
          </w:p>
        </w:tc>
      </w:tr>
      <w:tr>
        <w:tc>
          <w:tcPr>
            <w:tcW w:w="1108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asciiTheme="minorEastAsia" w:hAnsiTheme="minorEastAsia" w:eastAsiaTheme="majorEastAsia"/>
                <w:b/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napToGrid w:val="0"/>
                <w:color w:val="000000"/>
                <w:kern w:val="0"/>
                <w:szCs w:val="21"/>
                <w:lang w:eastAsia="zh-Hans"/>
              </w:rPr>
              <w:t>聚焦教研</w:t>
            </w:r>
            <w:r>
              <w:rPr>
                <w:rFonts w:asciiTheme="majorEastAsia" w:hAnsiTheme="majorEastAsia" w:eastAsiaTheme="majorEastAsia"/>
                <w:b/>
                <w:bCs/>
                <w:snapToGrid w:val="0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bCs/>
                <w:snapToGrid w:val="0"/>
                <w:color w:val="000000"/>
                <w:kern w:val="0"/>
                <w:szCs w:val="21"/>
                <w:lang w:eastAsia="zh-Hans"/>
              </w:rPr>
              <w:t>提升学校教研的实效性</w:t>
            </w:r>
            <w:r>
              <w:rPr>
                <w:rFonts w:asciiTheme="majorEastAsia" w:hAnsiTheme="majorEastAsia" w:eastAsiaTheme="majorEastAsia"/>
                <w:b/>
                <w:bCs/>
                <w:snapToGrid w:val="0"/>
                <w:color w:val="000000"/>
                <w:kern w:val="0"/>
                <w:szCs w:val="21"/>
                <w:lang w:eastAsia="zh-Hans"/>
              </w:rPr>
              <w:t>。</w:t>
            </w:r>
          </w:p>
        </w:tc>
        <w:tc>
          <w:tcPr>
            <w:tcW w:w="8705" w:type="dxa"/>
          </w:tcPr>
          <w:p>
            <w:pPr>
              <w:pStyle w:val="4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对薄弱学校的教学质量现状进行深度调研，通过课堂观察、访谈调查、学业分析、参与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集体备课和教研活动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等手段综合分析学校学业质量落后的真实原因，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形成基于问题的一校一方案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pStyle w:val="4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对学业质量明显突出的学校和进步比较明显的学校进行经验总结，梳理出这些学校可推广的典型经验。借助区域教研活动，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推广经验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形成辐射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</w:p>
        </w:tc>
      </w:tr>
      <w:tr>
        <w:tc>
          <w:tcPr>
            <w:tcW w:w="1108" w:type="dxa"/>
            <w:vMerge w:val="restart"/>
            <w:vAlign w:val="center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课堂教学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提质增效</w:t>
            </w:r>
          </w:p>
        </w:tc>
        <w:tc>
          <w:tcPr>
            <w:tcW w:w="4216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420" w:lineRule="exact"/>
              <w:ind w:left="0" w:leftChars="0" w:firstLine="0" w:firstLineChars="0"/>
              <w:textAlignment w:val="baseline"/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  <w:t>立足单元整体</w:t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  <w:t>提升单元架构能力</w:t>
            </w:r>
            <w:r>
              <w:rPr>
                <w:rFonts w:hint="default" w:asciiTheme="majorEastAsia" w:hAnsiTheme="majorEastAsia" w:eastAsiaTheme="majorEastAsia"/>
                <w:b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70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强化单元整体教学设计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聚焦课程内容六要素解读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解构单元教学内容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制定符合学情的单元教学目标和课时目标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形成指向目标的教学设计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作业设计和评价设计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各教研组定期开展围绕单元整体设计的说课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教学研讨等活动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；</w:t>
            </w:r>
          </w:p>
          <w:p>
            <w:pPr>
              <w:pStyle w:val="4"/>
              <w:numPr>
                <w:ilvl w:val="0"/>
                <w:numId w:val="3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12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月份将举行市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区层面的单元整体教学课堂教学研讨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</w:p>
        </w:tc>
      </w:tr>
      <w:tr>
        <w:tc>
          <w:tcPr>
            <w:tcW w:w="1108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</w:p>
        </w:tc>
        <w:tc>
          <w:tcPr>
            <w:tcW w:w="4216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420" w:lineRule="exact"/>
              <w:ind w:left="0" w:leftChars="0" w:firstLine="0" w:firstLineChars="0"/>
              <w:textAlignment w:val="baseline"/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  <w:t>立足起始年级</w:t>
            </w:r>
            <w:r>
              <w:rPr>
                <w:rFonts w:hint="default" w:asciiTheme="majorEastAsia" w:hAnsiTheme="majorEastAsia" w:eastAsiaTheme="majorEastAsia"/>
                <w:b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  <w:t>优化</w:t>
            </w:r>
            <w:r>
              <w:rPr>
                <w:rFonts w:hint="default" w:asciiTheme="majorEastAsia" w:hAnsiTheme="majorEastAsia" w:eastAsiaTheme="majorEastAsia"/>
                <w:b/>
                <w:sz w:val="21"/>
                <w:szCs w:val="21"/>
                <w:lang w:eastAsia="zh-Hans"/>
              </w:rPr>
              <w:t>p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  <w:t>honics教学</w:t>
            </w:r>
            <w:r>
              <w:rPr>
                <w:rFonts w:hint="default" w:asciiTheme="majorEastAsia" w:hAnsiTheme="majorEastAsia" w:eastAsiaTheme="majorEastAsia"/>
                <w:b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705" w:type="dxa"/>
            <w:vAlign w:val="top"/>
          </w:tcPr>
          <w:p>
            <w:pPr>
              <w:pStyle w:val="4"/>
              <w:numPr>
                <w:ilvl w:val="0"/>
                <w:numId w:val="4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针对前期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p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honics 教学中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存在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的问题，本学期将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进一步改进和优化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phonics的课程纲要，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丰富phonics教学的课型和评价方式，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保证教学效益的最大化，为学生的语言学习奠基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numPr>
                <w:ilvl w:val="0"/>
                <w:numId w:val="4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其余年级仍应将phonics教学与日常课堂教学有机融合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有序推进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phonics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学习的序列化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pStyle w:val="4"/>
              <w:numPr>
                <w:ilvl w:val="0"/>
                <w:numId w:val="4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12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月上旬全市将继续开展三年级整班朗读比赛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内容为phonics+课文朗读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</w:p>
        </w:tc>
      </w:tr>
      <w:tr>
        <w:tc>
          <w:tcPr>
            <w:tcW w:w="1108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cs="Times New Roman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</w:p>
        </w:tc>
        <w:tc>
          <w:tcPr>
            <w:tcW w:w="4216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420" w:lineRule="exact"/>
              <w:ind w:left="0" w:leftChars="0" w:firstLine="0" w:firstLineChars="0"/>
              <w:textAlignment w:val="baseline"/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  <w:t>立足学练一体</w:t>
            </w:r>
            <w:r>
              <w:rPr>
                <w:rFonts w:hint="default" w:asciiTheme="majorEastAsia" w:hAnsiTheme="majorEastAsia" w:eastAsiaTheme="majorEastAsia"/>
                <w:b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en-US" w:eastAsia="zh-Hans"/>
              </w:rPr>
              <w:t>强化语言知识的精准教学</w:t>
            </w:r>
            <w:r>
              <w:rPr>
                <w:rFonts w:hint="default" w:asciiTheme="majorEastAsia" w:hAnsiTheme="majorEastAsia" w:eastAsiaTheme="majorEastAsia"/>
                <w:b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705" w:type="dxa"/>
            <w:vAlign w:val="top"/>
          </w:tcPr>
          <w:p>
            <w:pPr>
              <w:pStyle w:val="4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（1）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强化语言知识的精准教学。强调语言知识教学的“形式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意义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运用”的统一，增强师生的语用意识和语用能力，聚焦语言知识教学的重难点展开突破，以更好地提升学生的语言学习效益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pStyle w:val="4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（2）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探索“教学练”一体化课堂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将作业前置到课前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课中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将评价内嵌于教学的全过程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落实教学评一体化的理念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提升课堂教学效益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减轻课后负担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pStyle w:val="4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（3）10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月份将开展“教学练一体”的课堂教学研讨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 xml:space="preserve">，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初步形成区域内课堂教学范式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。</w:t>
            </w:r>
          </w:p>
        </w:tc>
      </w:tr>
      <w:tr>
        <w:tc>
          <w:tcPr>
            <w:tcW w:w="1108" w:type="dxa"/>
            <w:vMerge w:val="restart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bCs w:val="0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bCs w:val="0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bCs w:val="0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bCs w:val="0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bCs w:val="0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bCs w:val="0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 w:val="0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教师队伍提质培优</w:t>
            </w:r>
          </w:p>
        </w:tc>
        <w:tc>
          <w:tcPr>
            <w:tcW w:w="4216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0" w:leftChars="0" w:firstLine="0" w:firstLineChars="0"/>
              <w:rPr>
                <w:rFonts w:asciiTheme="majorEastAsia" w:hAnsiTheme="majorEastAsia" w:eastAsiaTheme="majorEastAsia"/>
                <w:b/>
                <w:bCs w:val="0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262626" w:themeColor="text1" w:themeTint="D9"/>
                <w:kern w:val="0"/>
                <w:szCs w:val="21"/>
                <w:lang w:eastAsia="zh-Han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依托新课标</w:t>
            </w:r>
            <w:r>
              <w:rPr>
                <w:rFonts w:asciiTheme="majorEastAsia" w:hAnsiTheme="majorEastAsia" w:eastAsiaTheme="majorEastAsia"/>
                <w:b/>
                <w:bCs w:val="0"/>
                <w:color w:val="262626" w:themeColor="text1" w:themeTint="D9"/>
                <w:kern w:val="0"/>
                <w:szCs w:val="21"/>
                <w:lang w:eastAsia="zh-Han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262626" w:themeColor="text1" w:themeTint="D9"/>
                <w:kern w:val="0"/>
                <w:szCs w:val="21"/>
                <w:lang w:eastAsia="zh-Han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开展序列化研训活动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262626" w:themeColor="text1" w:themeTint="D9"/>
                <w:kern w:val="0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</w:p>
        </w:tc>
        <w:tc>
          <w:tcPr>
            <w:tcW w:w="8705" w:type="dxa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（1）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帮助教师梳理和理解新课标中的核心概念和关键指标，通过学科课程纲要的修订以及单元整体教学设计等方式，引导教师在日常教学中践行新课标。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（2）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加强对学科负责人（教研组长、备课组长）以及骨干教师的指导和培训，强化其学科专业素养、理论转化能力和课程规划能力，以加强课堂教学常规的执行和落实，强化教师的育人意识。</w:t>
            </w:r>
          </w:p>
        </w:tc>
      </w:tr>
      <w:tr>
        <w:tc>
          <w:tcPr>
            <w:tcW w:w="1108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>
            <w:pPr>
              <w:pStyle w:val="4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420" w:lineRule="exact"/>
              <w:ind w:left="0" w:leftChars="0" w:firstLine="0" w:firstLineChars="0"/>
              <w:textAlignment w:val="baseline"/>
              <w:rPr>
                <w:rFonts w:cs="Times New Roman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sz w:val="21"/>
                <w:szCs w:val="21"/>
              </w:rPr>
              <w:t>依托区教师发展工作室，扩大成果辐射面和教师影响力。</w:t>
            </w:r>
          </w:p>
        </w:tc>
        <w:tc>
          <w:tcPr>
            <w:tcW w:w="8705" w:type="dxa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（1）以“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指向语言能力提升的主教材与绘本融合教学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”为主题开展工作室联合活动</w:t>
            </w:r>
            <w:r>
              <w:rPr>
                <w:rFonts w:hint="default" w:asciiTheme="minorEastAsia" w:hAnsiTheme="minorEastAsia" w:eastAsiaTheme="minorEastAsia"/>
                <w:szCs w:val="21"/>
              </w:rPr>
              <w:t>（11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月</w:t>
            </w:r>
            <w:r>
              <w:rPr>
                <w:rFonts w:hint="default"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  <w:lang w:eastAsia="zh-Hans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）关注工作室阶段性成果的提炼和总结，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提升工作室在区域内的引领示范作用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提高工作室成员专业化表达能力，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促进成果输出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；</w:t>
            </w:r>
          </w:p>
        </w:tc>
      </w:tr>
      <w:tr>
        <w:tc>
          <w:tcPr>
            <w:tcW w:w="1108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>
            <w:pPr>
              <w:pStyle w:val="4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420" w:lineRule="exact"/>
              <w:ind w:left="0" w:leftChars="0" w:firstLine="0" w:firstLineChars="0"/>
              <w:textAlignment w:val="baseline"/>
              <w:rPr>
                <w:rFonts w:cs="Times New Roman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eastAsia="zh-Hans"/>
              </w:rPr>
              <w:t>依托</w:t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</w:rPr>
              <w:t>“成长营”，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eastAsia="zh-Hans"/>
              </w:rPr>
              <w:t>分层分阶提升教师专业素养</w:t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</w:rPr>
              <w:t>。</w:t>
            </w:r>
          </w:p>
        </w:tc>
        <w:tc>
          <w:tcPr>
            <w:tcW w:w="8705" w:type="dxa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（1）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组建新教师训练营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锤炼基本功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形成基本功比赛梯队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提升专业素养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将在</w:t>
            </w:r>
            <w:r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eastAsia="zh-Hans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Hans"/>
              </w:rPr>
              <w:t>月份开展新教师课堂教学汇报活动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为工作三年内的新教师提供展示平台</w:t>
            </w:r>
            <w:r>
              <w:rPr>
                <w:rFonts w:hint="default" w:asciiTheme="minorEastAsia" w:hAnsiTheme="minorEastAsia" w:eastAsiaTheme="minorEastAsia"/>
                <w:kern w:val="0"/>
                <w:szCs w:val="21"/>
                <w:lang w:eastAsia="zh-Hans"/>
              </w:rPr>
              <w:t>（9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Hans"/>
              </w:rPr>
              <w:t>月</w:t>
            </w:r>
            <w:r>
              <w:rPr>
                <w:rFonts w:hint="default" w:asciiTheme="minorEastAsia" w:hAnsiTheme="minorEastAsia" w:eastAsiaTheme="minorEastAsia"/>
                <w:kern w:val="0"/>
                <w:szCs w:val="21"/>
                <w:lang w:eastAsia="zh-Hans"/>
              </w:rPr>
              <w:t>）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提升课堂教学能力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kern w:val="0"/>
                <w:szCs w:val="21"/>
                <w:lang w:eastAsia="zh-Hans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（3）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Hans"/>
              </w:rPr>
              <w:t>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优质课评优为契机</w:t>
            </w:r>
            <w:r>
              <w:rPr>
                <w:rFonts w:hint="default" w:asciiTheme="minorEastAsia" w:hAnsiTheme="minorEastAsia" w:eastAsiaTheme="minorEastAsia"/>
                <w:kern w:val="0"/>
                <w:szCs w:val="21"/>
                <w:lang w:eastAsia="zh-Hans"/>
              </w:rPr>
              <w:t>（11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Hans"/>
              </w:rPr>
              <w:t>月</w:t>
            </w:r>
            <w:r>
              <w:rPr>
                <w:rFonts w:hint="default" w:asciiTheme="minorEastAsia" w:hAnsiTheme="minorEastAsia" w:eastAsiaTheme="minorEastAsia"/>
                <w:kern w:val="0"/>
                <w:szCs w:val="21"/>
                <w:lang w:eastAsia="zh-Hans"/>
              </w:rPr>
              <w:t>）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提升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Hans"/>
              </w:rPr>
              <w:t>不同年龄段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教师对教材的解读能力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教学设计能力和课堂教学实施能力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形成具有“天宁的人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Hans"/>
              </w:rPr>
              <w:t>天宁的课”的教学风格</w:t>
            </w:r>
            <w:r>
              <w:rPr>
                <w:rFonts w:asciiTheme="minorEastAsia" w:hAnsiTheme="minorEastAsia" w:eastAsiaTheme="minorEastAsia"/>
                <w:kern w:val="0"/>
                <w:szCs w:val="21"/>
                <w:lang w:eastAsia="zh-Hans"/>
              </w:rPr>
              <w:t>。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b/>
          <w:szCs w:val="21"/>
        </w:rPr>
        <w:t xml:space="preserve">  </w:t>
      </w:r>
      <w:r>
        <w:rPr>
          <w:rFonts w:asciiTheme="minorEastAsia" w:hAnsiTheme="minorEastAsia" w:eastAsiaTheme="minorEastAsia"/>
          <w:b/>
          <w:sz w:val="24"/>
        </w:rPr>
        <w:t xml:space="preserve"> 三、时间安排表</w:t>
      </w:r>
    </w:p>
    <w:p>
      <w:pPr>
        <w:pStyle w:val="4"/>
        <w:kinsoku w:val="0"/>
        <w:overflowPunct w:val="0"/>
        <w:spacing w:before="0" w:beforeAutospacing="0" w:after="0" w:afterAutospacing="0" w:line="320" w:lineRule="exact"/>
        <w:ind w:firstLine="420" w:firstLineChars="200"/>
        <w:textAlignment w:val="baseline"/>
        <w:rPr>
          <w:rFonts w:cs="Times New Roman" w:asciiTheme="minorEastAsia" w:hAnsiTheme="minorEastAsia" w:eastAsiaTheme="minorEastAsia"/>
          <w:b/>
          <w:sz w:val="21"/>
          <w:szCs w:val="21"/>
        </w:rPr>
      </w:pPr>
    </w:p>
    <w:tbl>
      <w:tblPr>
        <w:tblStyle w:val="5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519"/>
        <w:gridCol w:w="13424"/>
      </w:tblGrid>
      <w:tr>
        <w:trPr>
          <w:trHeight w:val="557" w:hRule="atLeast"/>
        </w:trPr>
        <w:tc>
          <w:tcPr>
            <w:tcW w:w="511" w:type="dxa"/>
            <w:vMerge w:val="restart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  <w:t>活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  <w:t>动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  <w:t>安</w:t>
            </w: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  <w:t>排</w:t>
            </w:r>
          </w:p>
        </w:tc>
        <w:tc>
          <w:tcPr>
            <w:tcW w:w="519" w:type="dxa"/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Hans"/>
              </w:rPr>
              <w:t>八月</w:t>
            </w:r>
          </w:p>
        </w:tc>
        <w:tc>
          <w:tcPr>
            <w:tcW w:w="13424" w:type="dxa"/>
            <w:vAlign w:val="center"/>
          </w:tcPr>
          <w:p>
            <w:pPr>
              <w:spacing w:line="340" w:lineRule="exact"/>
              <w:rPr>
                <w:rFonts w:hint="default" w:asciiTheme="minorEastAsia" w:hAnsiTheme="minorEastAsia" w:eastAsiaTheme="minorEastAsia"/>
                <w:bCs/>
                <w:szCs w:val="21"/>
                <w:lang w:val="en-US" w:eastAsia="zh-Hans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Hans"/>
              </w:rPr>
              <w:t>校本教研</w:t>
            </w:r>
            <w:r>
              <w:rPr>
                <w:rFonts w:hint="default" w:cs="宋体" w:asciiTheme="minorEastAsia" w:hAnsiTheme="minorEastAsia" w:eastAsiaTheme="minorEastAsia"/>
                <w:szCs w:val="21"/>
                <w:lang w:eastAsia="zh-Hans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Hans"/>
              </w:rPr>
              <w:t>一</w:t>
            </w:r>
            <w:r>
              <w:rPr>
                <w:rFonts w:hint="default" w:cs="宋体" w:asciiTheme="minorEastAsia" w:hAnsiTheme="minorEastAsia" w:eastAsiaTheme="minorEastAsia"/>
                <w:szCs w:val="21"/>
                <w:lang w:eastAsia="zh-Hans"/>
              </w:rPr>
              <w:t>）：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Hans"/>
              </w:rPr>
              <w:t>作业与命题设计培训</w:t>
            </w:r>
          </w:p>
        </w:tc>
      </w:tr>
      <w:tr>
        <w:trPr>
          <w:trHeight w:val="557" w:hRule="atLeast"/>
        </w:trPr>
        <w:tc>
          <w:tcPr>
            <w:tcW w:w="511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Hans"/>
              </w:rPr>
              <w:t>九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月</w:t>
            </w:r>
          </w:p>
        </w:tc>
        <w:tc>
          <w:tcPr>
            <w:tcW w:w="13424" w:type="dxa"/>
          </w:tcPr>
          <w:p>
            <w:pPr>
              <w:numPr>
                <w:ilvl w:val="0"/>
                <w:numId w:val="5"/>
              </w:numPr>
              <w:spacing w:line="3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Hans"/>
              </w:rPr>
              <w:t>校本教研</w:t>
            </w:r>
            <w:r>
              <w:rPr>
                <w:rFonts w:hint="default" w:cs="宋体" w:asciiTheme="minorEastAsia" w:hAnsiTheme="minorEastAsia" w:eastAsiaTheme="minorEastAsia"/>
                <w:szCs w:val="21"/>
                <w:lang w:eastAsia="zh-Hans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Hans"/>
              </w:rPr>
              <w:t>二</w:t>
            </w:r>
            <w:r>
              <w:rPr>
                <w:rFonts w:hint="default" w:cs="宋体" w:asciiTheme="minorEastAsia" w:hAnsiTheme="minorEastAsia" w:eastAsiaTheme="minorEastAsia"/>
                <w:szCs w:val="21"/>
                <w:lang w:eastAsia="zh-Hans"/>
              </w:rPr>
              <w:t>）——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Hans"/>
              </w:rPr>
              <w:t>教研组集体备课制度规范与完善</w:t>
            </w:r>
          </w:p>
          <w:p>
            <w:pPr>
              <w:numPr>
                <w:ilvl w:val="0"/>
                <w:numId w:val="5"/>
              </w:numPr>
              <w:spacing w:line="3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Hans"/>
              </w:rPr>
              <w:t>工作三年内新教师课堂展示</w:t>
            </w:r>
          </w:p>
          <w:p>
            <w:pPr>
              <w:numPr>
                <w:ilvl w:val="0"/>
                <w:numId w:val="5"/>
              </w:numPr>
              <w:spacing w:line="3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市学会年会论文评比</w:t>
            </w:r>
          </w:p>
          <w:p>
            <w:pPr>
              <w:pStyle w:val="4"/>
              <w:numPr>
                <w:ilvl w:val="0"/>
                <w:numId w:val="5"/>
              </w:numPr>
              <w:spacing w:before="0" w:beforeAutospacing="0" w:after="0" w:afterAutospacing="0" w:line="340" w:lineRule="exact"/>
              <w:rPr>
                <w:rFonts w:asciiTheme="minorEastAsia" w:hAnsiTheme="minorEastAsia" w:eastAsiaTheme="minor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 w:val="0"/>
                <w:color w:val="262626" w:themeColor="text1" w:themeTint="D9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五年级省测专项练习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市活动</w:t>
            </w:r>
            <w:r>
              <w:rPr>
                <w:b/>
                <w:bCs/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常州市</w:t>
            </w:r>
            <w:r>
              <w:rPr>
                <w:rFonts w:hint="eastAsia"/>
              </w:rPr>
              <w:t>起始年级phonics教学研讨&amp;调研</w:t>
            </w:r>
            <w:bookmarkStart w:id="0" w:name="_GoBack"/>
            <w:bookmarkEnd w:id="0"/>
          </w:p>
        </w:tc>
      </w:tr>
      <w:tr>
        <w:trPr>
          <w:trHeight w:val="1118" w:hRule="atLeast"/>
        </w:trPr>
        <w:tc>
          <w:tcPr>
            <w:tcW w:w="511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Hans"/>
              </w:rPr>
              <w:t>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月</w:t>
            </w:r>
          </w:p>
        </w:tc>
        <w:tc>
          <w:tcPr>
            <w:tcW w:w="13424" w:type="dxa"/>
            <w:vAlign w:val="center"/>
          </w:tcPr>
          <w:p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Style w:val="10"/>
                <w:rFonts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 w:val="0"/>
                <w:szCs w:val="21"/>
                <w:lang w:eastAsia="zh-Hans"/>
              </w:rPr>
              <w:t>五年级省测</w:t>
            </w:r>
          </w:p>
          <w:p>
            <w:pPr>
              <w:numPr>
                <w:ilvl w:val="0"/>
                <w:numId w:val="6"/>
              </w:numPr>
              <w:jc w:val="left"/>
              <w:rPr>
                <w:rStyle w:val="10"/>
                <w:rFonts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Hans"/>
              </w:rPr>
              <w:t>校本教研</w:t>
            </w:r>
            <w:r>
              <w:rPr>
                <w:rStyle w:val="10"/>
                <w:rFonts w:hint="default" w:asciiTheme="minorEastAsia" w:hAnsiTheme="minorEastAsia" w:eastAsiaTheme="minorEastAsia"/>
                <w:b w:val="0"/>
                <w:bCs w:val="0"/>
                <w:szCs w:val="21"/>
                <w:lang w:eastAsia="zh-Hans"/>
              </w:rPr>
              <w:t>（</w:t>
            </w:r>
            <w:r>
              <w:rPr>
                <w:rStyle w:val="10"/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Hans"/>
              </w:rPr>
              <w:t>三</w:t>
            </w:r>
            <w:r>
              <w:rPr>
                <w:rStyle w:val="10"/>
                <w:rFonts w:hint="default" w:asciiTheme="minorEastAsia" w:hAnsiTheme="minorEastAsia" w:eastAsiaTheme="minorEastAsia"/>
                <w:b w:val="0"/>
                <w:bCs w:val="0"/>
                <w:szCs w:val="21"/>
                <w:lang w:eastAsia="zh-Hans"/>
              </w:rPr>
              <w:t>）：</w:t>
            </w:r>
            <w:r>
              <w:rPr>
                <w:rStyle w:val="10"/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Hans"/>
              </w:rPr>
              <w:t>“教学练一体”的</w:t>
            </w:r>
            <w:r>
              <w:rPr>
                <w:rStyle w:val="10"/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Hans"/>
              </w:rPr>
              <w:t>校本教研研讨</w:t>
            </w:r>
          </w:p>
        </w:tc>
      </w:tr>
      <w:tr>
        <w:trPr>
          <w:trHeight w:val="640" w:hRule="atLeast"/>
        </w:trPr>
        <w:tc>
          <w:tcPr>
            <w:tcW w:w="511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Hans"/>
              </w:rPr>
              <w:t>十一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月</w:t>
            </w:r>
          </w:p>
        </w:tc>
        <w:tc>
          <w:tcPr>
            <w:tcW w:w="13424" w:type="dxa"/>
          </w:tcPr>
          <w:p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Style w:val="10"/>
                <w:rFonts w:cs="宋体"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 w:val="0"/>
                <w:szCs w:val="21"/>
                <w:lang w:eastAsia="zh-Hans"/>
              </w:rPr>
              <w:t>区优质课评比</w:t>
            </w:r>
          </w:p>
          <w:p>
            <w:pPr>
              <w:numPr>
                <w:ilvl w:val="0"/>
                <w:numId w:val="7"/>
              </w:numPr>
              <w:spacing w:line="340" w:lineRule="exact"/>
              <w:rPr>
                <w:rStyle w:val="10"/>
                <w:rFonts w:cs="宋体"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区工作室联合活动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指向语言能力提升的主教材与绘本融合教学</w:t>
            </w:r>
          </w:p>
          <w:p>
            <w:pPr>
              <w:spacing w:line="360" w:lineRule="auto"/>
              <w:rPr>
                <w:rStyle w:val="10"/>
                <w:rFonts w:ascii="楷体" w:hAnsi="楷体" w:eastAsia="楷体"/>
                <w:szCs w:val="21"/>
              </w:rPr>
            </w:pPr>
            <w:r>
              <w:rPr>
                <w:rFonts w:hint="eastAsia"/>
                <w:b/>
                <w:bCs/>
                <w:lang w:eastAsia="zh-Hans"/>
              </w:rPr>
              <w:t>市活动</w:t>
            </w:r>
            <w:r>
              <w:rPr>
                <w:rStyle w:val="10"/>
                <w:rFonts w:ascii="楷体" w:hAnsi="楷体" w:eastAsia="楷体"/>
                <w:szCs w:val="21"/>
              </w:rPr>
              <w:t>：</w:t>
            </w:r>
            <w:r>
              <w:rPr>
                <w:rFonts w:hint="eastAsia"/>
                <w:lang w:eastAsia="zh-Hans"/>
              </w:rPr>
              <w:t>语言知识的精准教学</w:t>
            </w:r>
            <w:r>
              <w:rPr>
                <w:rStyle w:val="10"/>
                <w:rFonts w:hint="eastAsia" w:ascii="楷体" w:hAnsi="楷体" w:eastAsia="楷体"/>
                <w:szCs w:val="21"/>
              </w:rPr>
              <w:t xml:space="preserve"> </w:t>
            </w:r>
          </w:p>
        </w:tc>
      </w:tr>
      <w:tr>
        <w:trPr>
          <w:trHeight w:val="640" w:hRule="atLeast"/>
        </w:trPr>
        <w:tc>
          <w:tcPr>
            <w:tcW w:w="511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Hans"/>
              </w:rPr>
              <w:t>十二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月</w:t>
            </w:r>
          </w:p>
        </w:tc>
        <w:tc>
          <w:tcPr>
            <w:tcW w:w="13424" w:type="dxa"/>
          </w:tcPr>
          <w:p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Style w:val="10"/>
                <w:rFonts w:cs="宋体" w:asciiTheme="minorEastAsia" w:hAnsiTheme="minorEastAsia" w:eastAsiaTheme="minorEastAsia"/>
                <w:b w:val="0"/>
                <w:szCs w:val="21"/>
              </w:rPr>
            </w:pPr>
            <w:r>
              <w:rPr>
                <w:rFonts w:hint="eastAsia"/>
              </w:rPr>
              <w:t>三上整班朗读比赛：phonics+课文朗读</w:t>
            </w:r>
          </w:p>
          <w:p>
            <w:pPr>
              <w:pStyle w:val="11"/>
              <w:numPr>
                <w:ilvl w:val="0"/>
                <w:numId w:val="8"/>
              </w:numPr>
              <w:spacing w:line="340" w:lineRule="exact"/>
              <w:rPr>
                <w:rStyle w:val="10"/>
                <w:rFonts w:cs="宋体" w:asciiTheme="minorEastAsia" w:hAnsiTheme="minorEastAsia" w:eastAsiaTheme="minorEastAsia"/>
                <w:b w:val="0"/>
                <w:szCs w:val="21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 w:val="0"/>
                <w:color w:val="auto"/>
                <w:sz w:val="21"/>
                <w:szCs w:val="21"/>
                <w:lang w:eastAsia="zh-Hans"/>
              </w:rPr>
              <w:t>区学业质量检测</w:t>
            </w:r>
          </w:p>
          <w:p>
            <w:pPr>
              <w:pStyle w:val="4"/>
              <w:numPr>
                <w:ilvl w:val="0"/>
                <w:numId w:val="8"/>
              </w:numPr>
              <w:spacing w:before="0" w:beforeAutospacing="0" w:after="0" w:afterAutospacing="0" w:line="340" w:lineRule="exact"/>
              <w:rPr>
                <w:rStyle w:val="10"/>
                <w:rFonts w:asciiTheme="minorEastAsia" w:hAnsiTheme="minorEastAsia" w:eastAsiaTheme="minorEastAsia"/>
                <w:b w:val="0"/>
                <w:kern w:val="2"/>
                <w:sz w:val="21"/>
                <w:szCs w:val="21"/>
                <w:lang w:eastAsia="zh-Hans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 w:val="0"/>
                <w:kern w:val="2"/>
                <w:sz w:val="21"/>
                <w:szCs w:val="21"/>
                <w:lang w:eastAsia="zh-Hans"/>
              </w:rPr>
              <w:t>课程内容六要素的单元整体教学研讨</w:t>
            </w:r>
          </w:p>
          <w:p>
            <w:pPr>
              <w:spacing w:line="360" w:lineRule="auto"/>
              <w:rPr>
                <w:rStyle w:val="10"/>
                <w:rFonts w:ascii="宋体" w:hAnsi="宋体" w:eastAsia="楷体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市活动</w:t>
            </w:r>
            <w:r>
              <w:rPr>
                <w:rStyle w:val="10"/>
                <w:rFonts w:ascii="楷体" w:hAnsi="楷体" w:eastAsia="楷体"/>
                <w:szCs w:val="21"/>
              </w:rPr>
              <w:t>：</w:t>
            </w:r>
            <w:r>
              <w:rPr>
                <w:rStyle w:val="10"/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Hans"/>
              </w:rPr>
              <w:t>单元整体教学</w:t>
            </w:r>
          </w:p>
        </w:tc>
      </w:tr>
      <w:tr>
        <w:trPr>
          <w:trHeight w:val="640" w:hRule="atLeast"/>
        </w:trPr>
        <w:tc>
          <w:tcPr>
            <w:tcW w:w="511" w:type="dxa"/>
            <w:vMerge w:val="continue"/>
          </w:tcPr>
          <w:p>
            <w:pPr>
              <w:pStyle w:val="4"/>
              <w:kinsoku w:val="0"/>
              <w:overflowPunct w:val="0"/>
              <w:spacing w:before="0" w:beforeAutospacing="0" w:after="0" w:afterAutospacing="0" w:line="360" w:lineRule="exact"/>
              <w:textAlignment w:val="baseline"/>
              <w:rPr>
                <w:rFonts w:cs="楷体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Hans"/>
              </w:rPr>
              <w:t>一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月</w:t>
            </w:r>
          </w:p>
        </w:tc>
        <w:tc>
          <w:tcPr>
            <w:tcW w:w="13424" w:type="dxa"/>
          </w:tcPr>
          <w:p>
            <w:pPr>
              <w:pStyle w:val="11"/>
              <w:numPr>
                <w:ilvl w:val="0"/>
                <w:numId w:val="9"/>
              </w:numPr>
              <w:spacing w:line="340" w:lineRule="exact"/>
              <w:rPr>
                <w:rStyle w:val="10"/>
                <w:rFonts w:cs="宋体" w:asciiTheme="minorEastAsia" w:hAnsiTheme="minorEastAsia" w:eastAsia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 w:val="0"/>
                <w:szCs w:val="21"/>
                <w:lang w:val="en-US" w:eastAsia="zh-Hans"/>
              </w:rPr>
              <w:t>校本教研</w:t>
            </w:r>
            <w:r>
              <w:rPr>
                <w:rStyle w:val="10"/>
                <w:rFonts w:hint="default" w:cs="宋体" w:asciiTheme="minorEastAsia" w:hAnsiTheme="minorEastAsia" w:eastAsiaTheme="minorEastAsia"/>
                <w:b w:val="0"/>
                <w:szCs w:val="21"/>
                <w:lang w:eastAsia="zh-Hans"/>
              </w:rPr>
              <w:t>（</w:t>
            </w:r>
            <w:r>
              <w:rPr>
                <w:rStyle w:val="10"/>
                <w:rFonts w:hint="eastAsia" w:cs="宋体" w:asciiTheme="minorEastAsia" w:hAnsiTheme="minorEastAsia" w:eastAsiaTheme="minorEastAsia"/>
                <w:b w:val="0"/>
                <w:szCs w:val="21"/>
                <w:lang w:val="en-US" w:eastAsia="zh-Hans"/>
              </w:rPr>
              <w:t>四</w:t>
            </w:r>
            <w:r>
              <w:rPr>
                <w:rStyle w:val="10"/>
                <w:rFonts w:hint="default" w:cs="宋体" w:asciiTheme="minorEastAsia" w:hAnsiTheme="minorEastAsia" w:eastAsiaTheme="minorEastAsia"/>
                <w:b w:val="0"/>
                <w:szCs w:val="21"/>
                <w:lang w:eastAsia="zh-Hans"/>
              </w:rPr>
              <w:t>）：</w:t>
            </w:r>
            <w:r>
              <w:rPr>
                <w:rStyle w:val="10"/>
                <w:rFonts w:hint="eastAsia" w:cs="宋体" w:asciiTheme="minorEastAsia" w:hAnsiTheme="minorEastAsia" w:eastAsiaTheme="minorEastAsia"/>
                <w:b w:val="0"/>
                <w:szCs w:val="21"/>
                <w:lang w:val="en-US" w:eastAsia="zh-Hans"/>
              </w:rPr>
              <w:t>校本教研</w:t>
            </w:r>
            <w:r>
              <w:rPr>
                <w:rStyle w:val="10"/>
                <w:rFonts w:hint="eastAsia" w:cs="宋体" w:asciiTheme="minorEastAsia" w:hAnsiTheme="minorEastAsia" w:eastAsiaTheme="minorEastAsia"/>
                <w:b w:val="0"/>
                <w:szCs w:val="21"/>
                <w:lang w:eastAsia="zh-Hans"/>
              </w:rPr>
              <w:t>展示</w:t>
            </w:r>
          </w:p>
          <w:p>
            <w:pPr>
              <w:pStyle w:val="11"/>
              <w:numPr>
                <w:ilvl w:val="0"/>
                <w:numId w:val="9"/>
              </w:numPr>
              <w:spacing w:line="340" w:lineRule="exact"/>
              <w:rPr>
                <w:rStyle w:val="10"/>
                <w:rFonts w:hint="eastAsia" w:cs="宋体" w:asciiTheme="minorEastAsia" w:hAnsiTheme="minorEastAsia" w:eastAsia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 w:val="0"/>
                <w:color w:val="auto"/>
                <w:sz w:val="21"/>
                <w:szCs w:val="21"/>
              </w:rPr>
              <w:t>工作第一年新教师课堂教学汇报</w:t>
            </w:r>
          </w:p>
          <w:p>
            <w:pPr>
              <w:pStyle w:val="11"/>
              <w:numPr>
                <w:ilvl w:val="0"/>
                <w:numId w:val="0"/>
              </w:numPr>
              <w:spacing w:line="340" w:lineRule="exact"/>
              <w:rPr>
                <w:rStyle w:val="10"/>
                <w:rFonts w:cs="宋体" w:asciiTheme="minorEastAsia" w:hAnsiTheme="minorEastAsia" w:eastAsia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b w:val="0"/>
                <w:color w:val="auto"/>
                <w:sz w:val="21"/>
                <w:szCs w:val="21"/>
              </w:rPr>
              <w:t>3. 期末考试</w:t>
            </w:r>
          </w:p>
        </w:tc>
      </w:tr>
    </w:tbl>
    <w:p>
      <w:pPr>
        <w:pStyle w:val="4"/>
        <w:kinsoku w:val="0"/>
        <w:overflowPunct w:val="0"/>
        <w:spacing w:before="0" w:beforeAutospacing="0" w:after="0" w:afterAutospacing="0" w:line="360" w:lineRule="exact"/>
        <w:textAlignment w:val="baseline"/>
        <w:rPr>
          <w:rFonts w:cs="楷体" w:asciiTheme="minorEastAsia" w:hAnsiTheme="minorEastAsia" w:eastAsiaTheme="minorEastAsia"/>
          <w:bCs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</w:p>
    <w:sectPr>
      <w:pgSz w:w="16838" w:h="11906" w:orient="landscape"/>
      <w:pgMar w:top="851" w:right="153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F3402"/>
    <w:multiLevelType w:val="singleLevel"/>
    <w:tmpl w:val="A56F340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B766D72"/>
    <w:multiLevelType w:val="singleLevel"/>
    <w:tmpl w:val="CB766D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7E2FEB"/>
    <w:multiLevelType w:val="singleLevel"/>
    <w:tmpl w:val="F17E2FE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BEF5A7D"/>
    <w:multiLevelType w:val="singleLevel"/>
    <w:tmpl w:val="FBEF5A7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FD6B901"/>
    <w:multiLevelType w:val="singleLevel"/>
    <w:tmpl w:val="FFD6B901"/>
    <w:lvl w:ilvl="0" w:tentative="0">
      <w:start w:val="4"/>
      <w:numFmt w:val="decimal"/>
      <w:suff w:val="space"/>
      <w:lvlText w:val="%1."/>
      <w:lvlJc w:val="left"/>
    </w:lvl>
  </w:abstractNum>
  <w:abstractNum w:abstractNumId="5">
    <w:nsid w:val="FFF598D6"/>
    <w:multiLevelType w:val="singleLevel"/>
    <w:tmpl w:val="FFF598D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F87F763"/>
    <w:multiLevelType w:val="singleLevel"/>
    <w:tmpl w:val="0F87F76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2BB6D6C"/>
    <w:multiLevelType w:val="multilevel"/>
    <w:tmpl w:val="32BB6D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4A6A49"/>
    <w:multiLevelType w:val="singleLevel"/>
    <w:tmpl w:val="694A6A49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MTk1OGJkZTc5ZTAxYTBjMDg4Y2ExMzUxYzJmYTAifQ=="/>
  </w:docVars>
  <w:rsids>
    <w:rsidRoot w:val="00E35846"/>
    <w:rsid w:val="00010FFA"/>
    <w:rsid w:val="00011AC2"/>
    <w:rsid w:val="00021CFB"/>
    <w:rsid w:val="00032D5B"/>
    <w:rsid w:val="000A4CD0"/>
    <w:rsid w:val="000A6F2A"/>
    <w:rsid w:val="000C6684"/>
    <w:rsid w:val="000C690E"/>
    <w:rsid w:val="000E6499"/>
    <w:rsid w:val="000F780E"/>
    <w:rsid w:val="00106819"/>
    <w:rsid w:val="00112181"/>
    <w:rsid w:val="00141E30"/>
    <w:rsid w:val="001669DA"/>
    <w:rsid w:val="001B021E"/>
    <w:rsid w:val="001C027C"/>
    <w:rsid w:val="001D2DD1"/>
    <w:rsid w:val="001F7290"/>
    <w:rsid w:val="002708DA"/>
    <w:rsid w:val="00273272"/>
    <w:rsid w:val="002B26C7"/>
    <w:rsid w:val="002C6A90"/>
    <w:rsid w:val="00330E23"/>
    <w:rsid w:val="0035038F"/>
    <w:rsid w:val="003754AC"/>
    <w:rsid w:val="00465138"/>
    <w:rsid w:val="0049056A"/>
    <w:rsid w:val="004D16B3"/>
    <w:rsid w:val="004E146E"/>
    <w:rsid w:val="00515333"/>
    <w:rsid w:val="00524045"/>
    <w:rsid w:val="00584F59"/>
    <w:rsid w:val="006147A1"/>
    <w:rsid w:val="00696220"/>
    <w:rsid w:val="006C72AE"/>
    <w:rsid w:val="00727784"/>
    <w:rsid w:val="00763D3E"/>
    <w:rsid w:val="00766A30"/>
    <w:rsid w:val="007A0ED0"/>
    <w:rsid w:val="007D4075"/>
    <w:rsid w:val="007F48EE"/>
    <w:rsid w:val="0081281F"/>
    <w:rsid w:val="0083595F"/>
    <w:rsid w:val="00857B30"/>
    <w:rsid w:val="008A108B"/>
    <w:rsid w:val="008B33DC"/>
    <w:rsid w:val="008E1B0C"/>
    <w:rsid w:val="00923D51"/>
    <w:rsid w:val="00944133"/>
    <w:rsid w:val="00967BBF"/>
    <w:rsid w:val="00995E59"/>
    <w:rsid w:val="00A007CA"/>
    <w:rsid w:val="00A21A2A"/>
    <w:rsid w:val="00A571A9"/>
    <w:rsid w:val="00B06766"/>
    <w:rsid w:val="00B56BF6"/>
    <w:rsid w:val="00B63C0E"/>
    <w:rsid w:val="00BB6199"/>
    <w:rsid w:val="00C15767"/>
    <w:rsid w:val="00C66121"/>
    <w:rsid w:val="00C737E1"/>
    <w:rsid w:val="00C7582C"/>
    <w:rsid w:val="00C8689B"/>
    <w:rsid w:val="00CA490C"/>
    <w:rsid w:val="00CC2E02"/>
    <w:rsid w:val="00CD244A"/>
    <w:rsid w:val="00CD2A5D"/>
    <w:rsid w:val="00CF69BF"/>
    <w:rsid w:val="00E1340F"/>
    <w:rsid w:val="00E14D93"/>
    <w:rsid w:val="00E35846"/>
    <w:rsid w:val="00E510A6"/>
    <w:rsid w:val="00E51B88"/>
    <w:rsid w:val="00EA6FEF"/>
    <w:rsid w:val="00EF3260"/>
    <w:rsid w:val="00F318FC"/>
    <w:rsid w:val="00F3397C"/>
    <w:rsid w:val="00F8699A"/>
    <w:rsid w:val="00FB1A5A"/>
    <w:rsid w:val="00FC6149"/>
    <w:rsid w:val="0FE7A238"/>
    <w:rsid w:val="1629061C"/>
    <w:rsid w:val="213A3EDA"/>
    <w:rsid w:val="22473184"/>
    <w:rsid w:val="239F6B5C"/>
    <w:rsid w:val="2DEEE4AD"/>
    <w:rsid w:val="2FFB14AC"/>
    <w:rsid w:val="42DE6D3D"/>
    <w:rsid w:val="47033321"/>
    <w:rsid w:val="60DE3E0A"/>
    <w:rsid w:val="63FFC7AD"/>
    <w:rsid w:val="6688004B"/>
    <w:rsid w:val="6D8D0DA1"/>
    <w:rsid w:val="7FFF87EF"/>
    <w:rsid w:val="8BED53FF"/>
    <w:rsid w:val="CEFED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character" w:customStyle="1" w:styleId="10">
    <w:name w:val="15"/>
    <w:uiPriority w:val="0"/>
    <w:rPr>
      <w:rFonts w:hint="default" w:ascii="Times New Roman" w:hAnsi="Times New Roman" w:cs="Times New Roman"/>
      <w:b/>
      <w:bCs/>
    </w:rPr>
  </w:style>
  <w:style w:type="paragraph" w:customStyle="1" w:styleId="11">
    <w:name w:val="正文1"/>
    <w:basedOn w:val="1"/>
    <w:uiPriority w:val="0"/>
    <w:pPr>
      <w:widowControl/>
      <w:jc w:val="left"/>
    </w:pPr>
    <w:rPr>
      <w:rFonts w:ascii="Helvetica" w:hAnsi="Arial Unicode MS" w:cs="Arial Unicode MS"/>
      <w:color w:val="000000"/>
      <w:kern w:val="0"/>
      <w:sz w:val="22"/>
      <w:szCs w:val="22"/>
    </w:rPr>
  </w:style>
  <w:style w:type="paragraph" w:customStyle="1" w:styleId="12">
    <w:name w:val="正文 A"/>
    <w:basedOn w:val="1"/>
    <w:uiPriority w:val="0"/>
    <w:rPr>
      <w:rFonts w:ascii="Arial Unicode MS" w:hAnsi="Arial Unicode MS" w:cs="宋体"/>
      <w:color w:val="000000"/>
      <w:szCs w:val="21"/>
      <w:u w:color="00000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323</Words>
  <Characters>1843</Characters>
  <Lines>15</Lines>
  <Paragraphs>4</Paragraphs>
  <TotalTime>14</TotalTime>
  <ScaleCrop>false</ScaleCrop>
  <LinksUpToDate>false</LinksUpToDate>
  <CharactersWithSpaces>2162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2022-08-09T14:23:00Z</dcterms:created>
  <dc:creator>薛红</dc:creator>
  <cp:lastModifiedBy>杭燕楠</cp:lastModifiedBy>
  <cp:lastPrinted>2023-02-02T14:29:00Z</cp:lastPrinted>
  <dcterms:modified xsi:type="dcterms:W3CDTF">2023-08-29T14:05:52Z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1202741463A189EDF051E964FA067FA6_43</vt:lpwstr>
  </property>
</Properties>
</file>