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常州市新北区春江中心小学学生校服采购项目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竞争性磋商公告</w:t>
      </w: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常州市新北区春江中心小学学生校服采购项目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的潜在供应商应在常州市新北区通江南路299号教育园区1号楼4楼获取磋商文件,并于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2022年10月25日下午14:00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(北京时间)前递交响应文件。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项目编号: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ZJZC2022185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常州市新北区春江中心小学学生校服采购项目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采购方式:</w:t>
      </w:r>
      <w:r>
        <w:rPr>
          <w:rFonts w:hint="eastAsia" w:ascii="宋体" w:hAnsi="宋体" w:cs="宋体"/>
          <w:color w:val="auto"/>
          <w:sz w:val="24"/>
          <w:highlight w:val="none"/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最高限价(固定综合单价):男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/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女生: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校服人民币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680元/套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采购需求: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常州市新北区春江中心小学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现需对校服进行采购，包括校服制作、运抵、卸货至采购人现场指定位置，通过采购人及其他相关部门的验收，直至发放和余货取回等全过程工作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eastAsia="zh-CN"/>
        </w:rPr>
        <w:t>每套校服包含:夏装（男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val="en-US" w:eastAsia="zh-CN"/>
        </w:rPr>
        <w:t>/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eastAsia="zh-CN"/>
        </w:rPr>
        <w:t>女T恤、男短裤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val="en-US" w:eastAsia="zh-CN"/>
        </w:rPr>
        <w:t>/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eastAsia="zh-CN"/>
        </w:rPr>
        <w:t>女裙子）、英伦风春秋装（男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val="en-US" w:eastAsia="zh-CN"/>
        </w:rPr>
        <w:t>/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eastAsia="zh-CN"/>
        </w:rPr>
        <w:t>女衬衫、毛纱背心、休闲长裤、男领带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val="en-US" w:eastAsia="zh-CN"/>
        </w:rPr>
        <w:t>/女领花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eastAsia="zh-CN"/>
        </w:rPr>
        <w:t>）、冬装（冲锋衣），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还需要承担其他年级校服的增订工作，具体数量价格按照现有标准实行。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zh-CN"/>
        </w:rPr>
        <w:t>供货期限: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成交单位须在30天内完成采购人要求的生产任务，并按要求将货物送达采购人指定的地点。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zh-CN"/>
        </w:rPr>
        <w:t>服务期限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二年，合同一年一签。一年服务期满经采购人考核合格后，方可续签下一年度合同。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本项目是否接受进口产品响应:□是■否。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3.落实政府采购政策需满足的资格要求: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4.其他特定资格要求:无；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日至2022年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</w:rPr>
        <w:t>，上午8:30至11:30，下午13:00至17:00(北京时间，法定节假日除外)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方式:可采取以下任一种方式获取磋商文件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(1)线上:在规定的时间内将报名材料扫描发至本公司邮箱“changzhouzhongjin@126.com”并按要求交纳费用后，磋商文件以邮件形式发送至指定邮箱。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(2)现场:常州市新北区通江南路299号教育园区1号楼4楼。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人民币500元/份(</w:t>
      </w:r>
      <w:r>
        <w:rPr>
          <w:rFonts w:hint="eastAsia" w:ascii="宋体" w:hAnsi="宋体" w:cs="宋体"/>
          <w:color w:val="auto"/>
          <w:sz w:val="24"/>
          <w:highlight w:val="none"/>
        </w:rPr>
        <w:t>现金、微信或支付宝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,磋商文件售后一概不退。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截止暨开标时间: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2022年10月25日下午14:00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开标室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、公告期限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、其他补充事宜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1.报名时需提供资料: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报名申请表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加盖公章，格式后附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营业执照副本(“三证合一”的营业执照副本)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以上资料齐全、符合要求的由代理机构发放磋商文件。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2.本项目不组织现场勘察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自行勘察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3.本项目不召开标前答疑会。供应商对磋商文件如有疑问，请将疑问于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日上午11:00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前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以书面形式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加盖公章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5.响应文件制作份数及要求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正本份数:1份，副本份数:2份，胶装成册,未提供完整的视为无效投标。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正本和副本合并密封或独立密封，由供应商根据实际情况自行确定。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不论供应商成交与否，响应文件均不退回。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6.样品要求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供应商需提供样品清单如下:</w:t>
      </w:r>
    </w:p>
    <w:tbl>
      <w:tblPr>
        <w:tblStyle w:val="5"/>
        <w:tblpPr w:leftFromText="180" w:rightFromText="180" w:vertAnchor="text" w:horzAnchor="page" w:tblpX="1261" w:tblpY="129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5434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面料、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款式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1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夏装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（一套）</w:t>
            </w:r>
          </w:p>
        </w:tc>
        <w:tc>
          <w:tcPr>
            <w:tcW w:w="273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男/女T恤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材质为100%棉，舒适透气，左胸口印有学校LOGO。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男生短裤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60%棉，40%聚酯纤维。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女生百褶裙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27%粘纤，71%聚酯纤维，2%氨纶，（女裙内衬裤100%棉）。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耐水色牢度≥4-5、耐酸汗渍色牢度≥4-5、耐碱汗渍色牢度≥4-5、耐干摩擦色牢度≥4-5、耐湿摩擦色牢度≥4-5。</w:t>
            </w:r>
          </w:p>
        </w:tc>
        <w:tc>
          <w:tcPr>
            <w:tcW w:w="165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182880</wp:posOffset>
                  </wp:positionV>
                  <wp:extent cx="894080" cy="1384935"/>
                  <wp:effectExtent l="0" t="0" r="5080" b="1905"/>
                  <wp:wrapSquare wrapText="bothSides"/>
                  <wp:docPr id="30" name="图片 30" descr="bbc4ceea900a42ca88fc21482cf98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bbc4ceea900a42ca88fc21482cf98c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172720</wp:posOffset>
                  </wp:positionV>
                  <wp:extent cx="934720" cy="1395730"/>
                  <wp:effectExtent l="0" t="0" r="10160" b="6350"/>
                  <wp:wrapSquare wrapText="bothSides"/>
                  <wp:docPr id="31" name="图片 31" descr="ba20a30a5b9addb9d3339ae161540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ba20a30a5b9addb9d3339ae161540b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5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17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（一件）</w:t>
            </w:r>
          </w:p>
        </w:tc>
        <w:tc>
          <w:tcPr>
            <w:tcW w:w="273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抗风防水，上衣包含可脱卸式抓绒内胆，材质均为100%聚酯纤维。上衣左胸口印有学校 LOGO。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耐水色牢度≥4-5、耐酸汗渍色牢度≥4-5、耐碱汗渍色牢度≥4-5、耐干摩擦色牢度≥4-5、耐湿摩擦色牢度≥4-5。</w:t>
            </w:r>
          </w:p>
        </w:tc>
        <w:tc>
          <w:tcPr>
            <w:tcW w:w="165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100330</wp:posOffset>
                  </wp:positionV>
                  <wp:extent cx="1079500" cy="1320165"/>
                  <wp:effectExtent l="0" t="0" r="2540" b="5715"/>
                  <wp:wrapSquare wrapText="bothSides"/>
                  <wp:docPr id="32" name="图片 32" descr="6a6d2103bae36f5f331b4b0eafd93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6a6d2103bae36f5f331b4b0eafd93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30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30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30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6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英伦风春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秋装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（一套）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男生为衬衫、领带、毛纱背心、长裤四件套；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女生为衬衫、领花、毛纱背心、长裤四件套。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衬衣左胸口印有学校LOGO。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衬衫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材质为60%棉、40%聚酯纤维；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毛纱背心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材质为100%棉；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男/女生长裤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材质为60%棉，40%聚酯纤维；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男领带/女领花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均为仿真丝；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耐水色牢度≥4-5、耐酸汗渍色牢度≥4-5、耐碱汗渍色牢度≥4-5、耐干摩擦色牢度≥4-5、耐湿摩擦色牢度≥4-5。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567690</wp:posOffset>
                  </wp:positionV>
                  <wp:extent cx="873760" cy="1242060"/>
                  <wp:effectExtent l="0" t="0" r="10160" b="7620"/>
                  <wp:wrapSquare wrapText="bothSides"/>
                  <wp:docPr id="33" name="图片 33" descr="f27ace46dc86bc2fdc8610a8db38a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f27ace46dc86bc2fdc8610a8db38a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580390</wp:posOffset>
                  </wp:positionV>
                  <wp:extent cx="884555" cy="1245235"/>
                  <wp:effectExtent l="0" t="0" r="14605" b="4445"/>
                  <wp:wrapSquare wrapText="bothSides"/>
                  <wp:docPr id="34" name="图片 34" descr="11030ca616e09d0ab86784f95e26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11030ca616e09d0ab86784f95e267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24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提交时,样品上任何显示制造厂或供应商的标志、标记都必须用不透明的纸粘贴遮盖，否则将被视为无效投标。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样品制作及运输费用由供应商自行承担。成交单位的样品不予退回，由采购人封存作为最终验收的依据。未成交单位将样品自行带回。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日下午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至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highlight w:val="none"/>
        </w:rPr>
        <w:t>截止，逾期不再接受。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送样地点:常州市新北区通江南路299号教育园区1号楼4楼408样品室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7.关于疫情期间的其他要求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1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疫情期间参与政府采购活动的当事人应严格按照疫情期间管理要求，全程佩戴口罩并配合测量体温、出示健康码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、行程卡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等各项疫情防控工作。进场后请保持安全距离，分散等候，不得扎堆聚集，事完即走。自觉服从引导人员的指挥和管理。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疫情期间为避免过多人员聚集，磋商现场每家供应商只允许1人进入开标室，对于参与开标活动的法定代表人或授权代表，应如实填报《疫情期间参与采购活动开评标人员健康信息登记表》并加盖单位公章，开标当日凭表格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、对本次采购提出询问，请按以下方式联系。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常州市新北区春江中心小学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地址:常州市新北区春江镇春镇路302号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唐老师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17706121903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名称:常州中金招投标有限公司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地址:常州市新北区通江南路299号教育园区1号楼4楼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联系人:潘女士、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曹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项目联系人:潘女士</w:t>
      </w:r>
    </w:p>
    <w:p>
      <w:r>
        <w:rPr>
          <w:rFonts w:hint="eastAsia" w:ascii="宋体" w:hAnsi="宋体" w:cs="宋体"/>
          <w:color w:val="auto"/>
          <w:sz w:val="24"/>
          <w:highlight w:val="none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000000"/>
    <w:rsid w:val="7E8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2022-10-14T02:35:48Z</dcterms:created>
  <dc:creator>C12</dc:creator>
  <cp:lastModifiedBy>Βαι开氺。</cp:lastModifiedBy>
  <dcterms:modified xsi:type="dcterms:W3CDTF">2022-10-14T02:37:11Z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2788083E60BE48ADBAE36A3CA7B630C1</vt:lpwstr>
  </property>
</Properties>
</file>