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C8" w:rsidRDefault="00051408">
      <w:pPr>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江苏省中小学智慧校园建设评价指标体系</w:t>
      </w:r>
    </w:p>
    <w:p w:rsidR="00E922C8" w:rsidRDefault="00E922C8">
      <w:pPr>
        <w:spacing w:line="600" w:lineRule="exact"/>
        <w:jc w:val="center"/>
        <w:rPr>
          <w:rFonts w:ascii="方正小标宋简体" w:eastAsia="方正小标宋简体" w:hAnsi="华文中宋"/>
          <w:sz w:val="44"/>
          <w:szCs w:val="44"/>
        </w:rPr>
      </w:pPr>
    </w:p>
    <w:tbl>
      <w:tblPr>
        <w:tblStyle w:val="a6"/>
        <w:tblW w:w="15276" w:type="dxa"/>
        <w:tblLayout w:type="fixed"/>
        <w:tblLook w:val="04A0"/>
      </w:tblPr>
      <w:tblGrid>
        <w:gridCol w:w="1526"/>
        <w:gridCol w:w="1559"/>
        <w:gridCol w:w="11198"/>
        <w:gridCol w:w="993"/>
      </w:tblGrid>
      <w:tr w:rsidR="00E922C8">
        <w:tc>
          <w:tcPr>
            <w:tcW w:w="1526" w:type="dxa"/>
            <w:vAlign w:val="center"/>
          </w:tcPr>
          <w:p w:rsidR="00E922C8" w:rsidRDefault="00051408">
            <w:pPr>
              <w:spacing w:line="44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评价项目</w:t>
            </w:r>
          </w:p>
        </w:tc>
        <w:tc>
          <w:tcPr>
            <w:tcW w:w="1559" w:type="dxa"/>
            <w:vAlign w:val="center"/>
          </w:tcPr>
          <w:p w:rsidR="00E922C8" w:rsidRDefault="00051408">
            <w:pPr>
              <w:spacing w:line="44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评价指标</w:t>
            </w:r>
          </w:p>
        </w:tc>
        <w:tc>
          <w:tcPr>
            <w:tcW w:w="11198" w:type="dxa"/>
            <w:vAlign w:val="center"/>
          </w:tcPr>
          <w:p w:rsidR="00E922C8" w:rsidRDefault="00051408">
            <w:pPr>
              <w:spacing w:line="44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评</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价</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细</w:t>
            </w:r>
            <w:r>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则</w:t>
            </w:r>
          </w:p>
        </w:tc>
        <w:tc>
          <w:tcPr>
            <w:tcW w:w="993" w:type="dxa"/>
            <w:vAlign w:val="center"/>
          </w:tcPr>
          <w:p w:rsidR="00E922C8" w:rsidRDefault="00051408">
            <w:pPr>
              <w:spacing w:line="44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分值</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一、</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智慧环境</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25</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楷体"/>
                <w:b/>
                <w:color w:val="000000" w:themeColor="text1"/>
                <w:sz w:val="28"/>
                <w:szCs w:val="28"/>
              </w:rPr>
            </w:pPr>
            <w:r>
              <w:rPr>
                <w:rFonts w:ascii="仿宋_GB2312" w:eastAsia="仿宋_GB2312" w:hAnsi="楷体" w:hint="eastAsia"/>
                <w:b/>
                <w:color w:val="000000" w:themeColor="text1"/>
                <w:sz w:val="28"/>
                <w:szCs w:val="28"/>
              </w:rPr>
              <w:t>（一）</w:t>
            </w:r>
          </w:p>
          <w:p w:rsidR="00E922C8" w:rsidRDefault="00051408">
            <w:pPr>
              <w:spacing w:line="440" w:lineRule="exact"/>
              <w:jc w:val="center"/>
              <w:rPr>
                <w:rFonts w:ascii="仿宋_GB2312" w:eastAsia="仿宋_GB2312" w:hAnsi="楷体"/>
                <w:b/>
                <w:color w:val="000000" w:themeColor="text1"/>
                <w:sz w:val="28"/>
                <w:szCs w:val="28"/>
              </w:rPr>
            </w:pPr>
            <w:r>
              <w:rPr>
                <w:rFonts w:ascii="仿宋_GB2312" w:eastAsia="仿宋_GB2312" w:hAnsi="楷体" w:hint="eastAsia"/>
                <w:b/>
                <w:color w:val="000000" w:themeColor="text1"/>
                <w:sz w:val="28"/>
                <w:szCs w:val="28"/>
              </w:rPr>
              <w:t>校园网络（</w:t>
            </w:r>
            <w:r>
              <w:rPr>
                <w:rFonts w:ascii="仿宋_GB2312" w:eastAsia="仿宋_GB2312" w:hAnsi="楷体" w:hint="eastAsia"/>
                <w:b/>
                <w:color w:val="000000" w:themeColor="text1"/>
                <w:sz w:val="28"/>
                <w:szCs w:val="28"/>
              </w:rPr>
              <w:t>8</w:t>
            </w:r>
            <w:r>
              <w:rPr>
                <w:rFonts w:ascii="仿宋_GB2312" w:eastAsia="仿宋_GB2312" w:hAnsi="楷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实现宽带网络校校通，千兆进校、百兆进班。</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电信合同、带宽测速截图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校园网络应接入江苏省教育和科研计算机网。</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连接截图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tabs>
                <w:tab w:val="left" w:pos="6765"/>
              </w:tabs>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无线校园网络覆盖教学区和办公区。</w:t>
            </w:r>
          </w:p>
          <w:p w:rsidR="00E922C8" w:rsidRDefault="00051408">
            <w:pPr>
              <w:tabs>
                <w:tab w:val="left" w:pos="6765"/>
              </w:tabs>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无线</w:t>
            </w:r>
            <w:r>
              <w:rPr>
                <w:rFonts w:ascii="仿宋_GB2312" w:eastAsia="仿宋_GB2312" w:hAnsi="仿宋" w:hint="eastAsia"/>
                <w:color w:val="C00000"/>
                <w:sz w:val="28"/>
                <w:szCs w:val="28"/>
              </w:rPr>
              <w:t>AP</w:t>
            </w:r>
            <w:r>
              <w:rPr>
                <w:rFonts w:ascii="仿宋_GB2312" w:eastAsia="仿宋_GB2312" w:hAnsi="仿宋" w:hint="eastAsia"/>
                <w:color w:val="C00000"/>
                <w:sz w:val="28"/>
                <w:szCs w:val="28"/>
              </w:rPr>
              <w:t>分布图、网络拓扑图、合同等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建有基于校园网络的数字广播系统、数字电视系统和数字会议系统。</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现场照片、数字广播界面、电视系统环境界面等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w:t>
            </w:r>
            <w:r>
              <w:rPr>
                <w:rFonts w:ascii="仿宋_GB2312" w:eastAsia="仿宋_GB2312" w:hAnsi="仿宋" w:hint="eastAsia"/>
                <w:color w:val="000000" w:themeColor="text1"/>
                <w:sz w:val="28"/>
                <w:szCs w:val="28"/>
              </w:rPr>
              <w:t>学校建有物联网并有相关教育应用。</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周界报警、电子围栏、视频监控、车库扫描系统、多媒体融合系统、电子班牌、电子屏等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（二）</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信息</w:t>
            </w:r>
            <w:r>
              <w:rPr>
                <w:rFonts w:ascii="仿宋_GB2312" w:eastAsia="仿宋_GB2312" w:hAnsi="仿宋"/>
                <w:b/>
                <w:color w:val="000000" w:themeColor="text1"/>
                <w:sz w:val="28"/>
                <w:szCs w:val="28"/>
              </w:rPr>
              <w:t>终端</w:t>
            </w:r>
            <w:r>
              <w:rPr>
                <w:rFonts w:ascii="仿宋_GB2312" w:eastAsia="仿宋_GB2312" w:hAnsi="仿宋" w:hint="eastAsia"/>
                <w:b/>
                <w:color w:val="000000" w:themeColor="text1"/>
                <w:sz w:val="28"/>
                <w:szCs w:val="28"/>
              </w:rPr>
              <w:t>（</w:t>
            </w:r>
            <w:r>
              <w:rPr>
                <w:rFonts w:ascii="仿宋_GB2312" w:eastAsia="仿宋_GB2312" w:hAnsi="仿宋" w:hint="eastAsia"/>
                <w:b/>
                <w:color w:val="000000" w:themeColor="text1"/>
                <w:sz w:val="28"/>
                <w:szCs w:val="28"/>
              </w:rPr>
              <w:t>6</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教师均配有办公用计算机，师机比不低于</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比</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电脑数量明细、教师数、办公现场照片</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学生配有学习用计算机，生机比不低于</w:t>
            </w:r>
            <w:r>
              <w:rPr>
                <w:rFonts w:ascii="仿宋_GB2312" w:eastAsia="仿宋_GB2312" w:hAnsi="仿宋" w:hint="eastAsia"/>
                <w:color w:val="000000" w:themeColor="text1"/>
                <w:sz w:val="28"/>
                <w:szCs w:val="28"/>
              </w:rPr>
              <w:t>8</w:t>
            </w:r>
            <w:r>
              <w:rPr>
                <w:rFonts w:ascii="仿宋_GB2312" w:eastAsia="仿宋_GB2312" w:hAnsi="仿宋" w:hint="eastAsia"/>
                <w:color w:val="000000" w:themeColor="text1"/>
                <w:sz w:val="28"/>
                <w:szCs w:val="28"/>
              </w:rPr>
              <w:t>比</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电脑数量明细、学生数、机房教室现场照片</w:t>
            </w:r>
            <w:r>
              <w:rPr>
                <w:rFonts w:ascii="仿宋_GB2312" w:eastAsia="仿宋_GB2312" w:hAnsi="仿宋" w:hint="eastAsia"/>
                <w:color w:val="000000" w:themeColor="text1"/>
                <w:sz w:val="28"/>
                <w:szCs w:val="28"/>
              </w:rPr>
              <w:t>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学生移动学习终端能支持学生移动学习需求。</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自带设备、数字化教室、录播教室、上课照片、活动照片等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配备数字化智能输入设备。</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lastRenderedPageBreak/>
              <w:t>语音输入设备</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lastRenderedPageBreak/>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w:t>
            </w:r>
            <w:r>
              <w:rPr>
                <w:rFonts w:ascii="仿宋_GB2312" w:eastAsia="仿宋_GB2312" w:hAnsi="仿宋" w:hint="eastAsia"/>
                <w:color w:val="000000" w:themeColor="text1"/>
                <w:sz w:val="28"/>
                <w:szCs w:val="28"/>
              </w:rPr>
              <w:t>在公共服务区域（图书馆、活动室、行政楼等）配备为师生提供信息化服务的公用终端。</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设备明细、所在区域、现场照片</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r>
              <w:rPr>
                <w:rFonts w:ascii="仿宋_GB2312" w:eastAsia="仿宋_GB2312" w:hAnsi="仿宋" w:hint="eastAsia"/>
                <w:color w:val="000000" w:themeColor="text1"/>
                <w:sz w:val="28"/>
                <w:szCs w:val="28"/>
              </w:rPr>
              <w:t>校园建有智能一卡通系统并有效应用。</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电子班牌、二维码识别、人脸识别、学生借书午餐卡等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（三）</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智慧</w:t>
            </w:r>
            <w:r>
              <w:rPr>
                <w:rFonts w:ascii="仿宋_GB2312" w:eastAsia="仿宋_GB2312" w:hAnsi="仿宋"/>
                <w:b/>
                <w:color w:val="000000" w:themeColor="text1"/>
                <w:sz w:val="28"/>
                <w:szCs w:val="28"/>
              </w:rPr>
              <w:t>教室</w:t>
            </w:r>
            <w:r>
              <w:rPr>
                <w:rFonts w:ascii="仿宋_GB2312" w:eastAsia="仿宋_GB2312" w:hAnsi="仿宋" w:hint="eastAsia"/>
                <w:b/>
                <w:color w:val="000000" w:themeColor="text1"/>
                <w:sz w:val="28"/>
                <w:szCs w:val="28"/>
              </w:rPr>
              <w:t>（</w:t>
            </w:r>
            <w:r>
              <w:rPr>
                <w:rFonts w:ascii="仿宋_GB2312" w:eastAsia="仿宋_GB2312" w:hAnsi="仿宋" w:hint="eastAsia"/>
                <w:b/>
                <w:color w:val="000000" w:themeColor="text1"/>
                <w:sz w:val="28"/>
                <w:szCs w:val="28"/>
              </w:rPr>
              <w:t>6</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每个教室配备一套交互式多媒体教学设备。</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电子白板、触控一体机等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仿宋"/>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学校具备智能型多媒体中央控制系统，实现教室内主要电子设备的集中管控。</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融合系统、电子班牌、多媒体控制盒等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学校建有一间自动录播室，能够支持远程教学和科研。</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直播设备、直播点播系统等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学校至少要建有一间</w:t>
            </w:r>
            <w:r>
              <w:rPr>
                <w:rFonts w:ascii="仿宋_GB2312" w:eastAsia="仿宋_GB2312" w:hAnsi="仿宋" w:hint="eastAsia"/>
                <w:sz w:val="28"/>
                <w:szCs w:val="28"/>
              </w:rPr>
              <w:t>智能学习体验中心</w:t>
            </w:r>
            <w:r>
              <w:rPr>
                <w:rFonts w:ascii="仿宋_GB2312" w:eastAsia="仿宋_GB2312" w:hAnsi="仿宋" w:hint="eastAsia"/>
                <w:sz w:val="28"/>
                <w:szCs w:val="28"/>
              </w:rPr>
              <w:t>/</w:t>
            </w:r>
            <w:r>
              <w:rPr>
                <w:rFonts w:ascii="仿宋_GB2312" w:eastAsia="仿宋_GB2312" w:hAnsi="仿宋" w:hint="eastAsia"/>
                <w:sz w:val="28"/>
                <w:szCs w:val="28"/>
              </w:rPr>
              <w:t>智慧教室，</w:t>
            </w:r>
            <w:r>
              <w:rPr>
                <w:rFonts w:ascii="仿宋_GB2312" w:eastAsia="仿宋_GB2312" w:hAnsi="仿宋" w:hint="eastAsia"/>
                <w:color w:val="000000" w:themeColor="text1"/>
                <w:sz w:val="28"/>
                <w:szCs w:val="28"/>
              </w:rPr>
              <w:t>能够全过程采集教学与学习行为数据、满足个性化学习需要、支持混合学习。</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数字化教室、录播教室、智慧教室、创客中心等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5.</w:t>
            </w:r>
            <w:r>
              <w:rPr>
                <w:rFonts w:ascii="仿宋_GB2312" w:eastAsia="仿宋_GB2312" w:hAnsi="仿宋" w:hint="eastAsia"/>
                <w:color w:val="000000" w:themeColor="text1"/>
                <w:sz w:val="28"/>
                <w:szCs w:val="28"/>
              </w:rPr>
              <w:t>依托区域教育云和教学资源平台、智能学科辅助工具、在线学习社区以及第三方服务，实现课堂教学云端一体化。</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区公共服务平台、各类在线学习平台的使用截图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（四）</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信息</w:t>
            </w:r>
            <w:r>
              <w:rPr>
                <w:rFonts w:ascii="仿宋_GB2312" w:eastAsia="仿宋_GB2312" w:hAnsi="仿宋"/>
                <w:b/>
                <w:color w:val="000000" w:themeColor="text1"/>
                <w:sz w:val="28"/>
                <w:szCs w:val="28"/>
              </w:rPr>
              <w:t>安全</w:t>
            </w:r>
            <w:r>
              <w:rPr>
                <w:rFonts w:ascii="仿宋_GB2312" w:eastAsia="仿宋_GB2312" w:hAnsi="仿宋" w:hint="eastAsia"/>
                <w:b/>
                <w:color w:val="000000" w:themeColor="text1"/>
                <w:sz w:val="28"/>
                <w:szCs w:val="28"/>
              </w:rPr>
              <w:t>（</w:t>
            </w:r>
            <w:r>
              <w:rPr>
                <w:rFonts w:ascii="仿宋_GB2312" w:eastAsia="仿宋_GB2312" w:hAnsi="仿宋" w:hint="eastAsia"/>
                <w:b/>
                <w:color w:val="000000" w:themeColor="text1"/>
                <w:sz w:val="28"/>
                <w:szCs w:val="28"/>
              </w:rPr>
              <w:t>3</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学校要建立网络信息安全保障制度，根据实际需要配置防火墙、入侵检测系统、防病毒系统、漏洞扫描系统、有害信息过滤系统和</w:t>
            </w:r>
            <w:r>
              <w:rPr>
                <w:rFonts w:ascii="仿宋_GB2312" w:eastAsia="仿宋_GB2312" w:hAnsi="仿宋" w:hint="eastAsia"/>
                <w:color w:val="000000" w:themeColor="text1"/>
                <w:sz w:val="28"/>
                <w:szCs w:val="28"/>
              </w:rPr>
              <w:t>WEB</w:t>
            </w:r>
            <w:r>
              <w:rPr>
                <w:rFonts w:ascii="仿宋_GB2312" w:eastAsia="仿宋_GB2312" w:hAnsi="仿宋" w:hint="eastAsia"/>
                <w:color w:val="000000" w:themeColor="text1"/>
                <w:sz w:val="28"/>
                <w:szCs w:val="28"/>
              </w:rPr>
              <w:t>应用防火墙等网络安全系统。</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信息安全相关制度预案、软硬件照片截图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学校要定期开展信息安全等保测评工作。</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配备统一上网管理系统，对互联网的使用可控制、可管理</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上网行为管理系统硬件照片、操作界面截图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（五）</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智能</w:t>
            </w:r>
            <w:r>
              <w:rPr>
                <w:rFonts w:ascii="仿宋_GB2312" w:eastAsia="仿宋_GB2312" w:hAnsi="仿宋"/>
                <w:b/>
                <w:color w:val="000000" w:themeColor="text1"/>
                <w:sz w:val="28"/>
                <w:szCs w:val="28"/>
              </w:rPr>
              <w:t>安防</w:t>
            </w:r>
            <w:r>
              <w:rPr>
                <w:rFonts w:ascii="仿宋_GB2312" w:eastAsia="仿宋_GB2312" w:hAnsi="仿宋" w:hint="eastAsia"/>
                <w:b/>
                <w:color w:val="000000" w:themeColor="text1"/>
                <w:sz w:val="28"/>
                <w:szCs w:val="28"/>
              </w:rPr>
              <w:t>（</w:t>
            </w:r>
            <w:r>
              <w:rPr>
                <w:rFonts w:ascii="仿宋_GB2312" w:eastAsia="仿宋_GB2312" w:hAnsi="仿宋" w:hint="eastAsia"/>
                <w:b/>
                <w:color w:val="000000" w:themeColor="text1"/>
                <w:sz w:val="28"/>
                <w:szCs w:val="28"/>
              </w:rPr>
              <w:t>2</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建有一套智能校园安防系统，覆盖校园主要场所，与区域行政部门数据同步，与当地公安部门安全防范系统联网。</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周界报警、电子围栏、一键报警、视频监控等安防资料照片</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学校要部署消防报警系统、紧急广播与疏散系统和其他特殊类型智能安防子系统。</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相关照片、说明</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二、</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数字资源</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20</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（一）</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资源建设（</w:t>
            </w:r>
            <w:r>
              <w:rPr>
                <w:rFonts w:ascii="仿宋_GB2312" w:eastAsia="仿宋_GB2312" w:hAnsi="仿宋" w:hint="eastAsia"/>
                <w:b/>
                <w:color w:val="000000" w:themeColor="text1"/>
                <w:sz w:val="28"/>
                <w:szCs w:val="28"/>
              </w:rPr>
              <w:t>6</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学校配备能够满足各学科教学需要的数字化资源。</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电教教材、教学配套光盘、自建资源库、购买的在线资源等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学校建有数字图书馆或与区域数字图书馆互联互通。</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图书馆借阅系统、区配发的数字图书馆系统</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学校建有电子阅览室，购置电子读物，支持移动阅读。</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室牌、内部照片，数字图书馆截图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学校建设至少一个专题的数字校本特色资源并逐年更新。</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专题网站、网络空间截图等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（二）</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资源应用（</w:t>
            </w:r>
            <w:r>
              <w:rPr>
                <w:rFonts w:ascii="仿宋_GB2312" w:eastAsia="仿宋_GB2312" w:hAnsi="仿宋" w:hint="eastAsia"/>
                <w:b/>
                <w:color w:val="000000" w:themeColor="text1"/>
                <w:sz w:val="28"/>
                <w:szCs w:val="28"/>
              </w:rPr>
              <w:t>7</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实现了优质资源班班通，每个班级都能有效利用省级及其他教育资源公共服务平台的优质资源开展教学。</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班级网络照片、各级公共服务平台</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2.100%</w:t>
            </w:r>
            <w:r>
              <w:rPr>
                <w:rFonts w:ascii="仿宋_GB2312" w:eastAsia="仿宋_GB2312" w:hAnsi="仿宋" w:hint="eastAsia"/>
                <w:color w:val="000000" w:themeColor="text1"/>
                <w:sz w:val="28"/>
                <w:szCs w:val="28"/>
              </w:rPr>
              <w:t>的教师开通实名制网络学习空间，能够有效利用平台的数字化资源开展备课授课、家校互动、网络研修和学习指导。</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一师一优课平台、各类学习平台、专题网站等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3. </w:t>
            </w:r>
            <w:r>
              <w:rPr>
                <w:rFonts w:ascii="仿宋_GB2312" w:eastAsia="仿宋_GB2312" w:hAnsi="仿宋" w:hint="eastAsia"/>
                <w:color w:val="000000" w:themeColor="text1"/>
                <w:sz w:val="28"/>
                <w:szCs w:val="28"/>
              </w:rPr>
              <w:t>70%</w:t>
            </w:r>
            <w:r>
              <w:rPr>
                <w:rFonts w:ascii="仿宋_GB2312" w:eastAsia="仿宋_GB2312" w:hAnsi="仿宋" w:hint="eastAsia"/>
                <w:color w:val="000000" w:themeColor="text1"/>
                <w:sz w:val="28"/>
                <w:szCs w:val="28"/>
              </w:rPr>
              <w:t>的学生开通实名制网络学习空间，能够应用空间进行预习、作业、自测、拓展阅读、网络选修课等学习活动。</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英语口语测试平台</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学校能够通过数字化学习平台和网络学习空间，为师生提供个性化、精准化的资源推送。</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青果在线、学校平台等</w:t>
            </w:r>
          </w:p>
        </w:tc>
        <w:tc>
          <w:tcPr>
            <w:tcW w:w="993" w:type="dxa"/>
            <w:vAlign w:val="center"/>
          </w:tcPr>
          <w:p w:rsidR="00E922C8" w:rsidRDefault="00051408">
            <w:pPr>
              <w:spacing w:line="440" w:lineRule="exact"/>
              <w:jc w:val="center"/>
              <w:rPr>
                <w:rFonts w:ascii="仿宋_GB2312" w:eastAsia="仿宋_GB2312" w:hAnsi="黑体"/>
                <w:sz w:val="28"/>
                <w:szCs w:val="28"/>
              </w:rPr>
            </w:pPr>
            <w:r>
              <w:rPr>
                <w:rFonts w:ascii="仿宋_GB2312" w:eastAsia="仿宋_GB2312" w:hAnsi="黑体" w:hint="eastAsia"/>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（三）</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资源共享（</w:t>
            </w:r>
            <w:r>
              <w:rPr>
                <w:rFonts w:ascii="仿宋_GB2312" w:eastAsia="仿宋_GB2312" w:hAnsi="仿宋" w:hint="eastAsia"/>
                <w:b/>
                <w:color w:val="000000" w:themeColor="text1"/>
                <w:sz w:val="28"/>
                <w:szCs w:val="28"/>
              </w:rPr>
              <w:t>6</w:t>
            </w:r>
            <w:r>
              <w:rPr>
                <w:rFonts w:ascii="仿宋_GB2312" w:eastAsia="仿宋_GB2312" w:hAnsi="仿宋"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学校内部实现了学科教师之间的资源共建共享。</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ftp</w:t>
            </w:r>
            <w:r>
              <w:rPr>
                <w:rFonts w:ascii="仿宋_GB2312" w:eastAsia="仿宋_GB2312" w:hAnsi="仿宋" w:hint="eastAsia"/>
                <w:color w:val="C00000"/>
                <w:sz w:val="28"/>
                <w:szCs w:val="28"/>
              </w:rPr>
              <w:t>、网盘、空间等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学校每年至少有一个专题的网络课程或特色资源通过县级以上教育资源服务平台实现区域共享。</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多媒体教育软件评比获奖、一师一优课县级以上获奖等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学校</w:t>
            </w:r>
            <w:r>
              <w:rPr>
                <w:rFonts w:ascii="仿宋_GB2312" w:eastAsia="仿宋_GB2312" w:hAnsi="仿宋" w:hint="eastAsia"/>
                <w:color w:val="000000" w:themeColor="text1"/>
                <w:sz w:val="28"/>
                <w:szCs w:val="28"/>
              </w:rPr>
              <w:t>10%</w:t>
            </w:r>
            <w:r>
              <w:rPr>
                <w:rFonts w:ascii="仿宋_GB2312" w:eastAsia="仿宋_GB2312" w:hAnsi="仿宋" w:hint="eastAsia"/>
                <w:color w:val="000000" w:themeColor="text1"/>
                <w:sz w:val="28"/>
                <w:szCs w:val="28"/>
              </w:rPr>
              <w:t>以上的教师每年有教学资源上传至县级以上教育资源服务平台并共享。</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一师一优课县级以上获奖、青果在线、微课等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学校有学生作品在县级以上教育资源服务平台展示并共享。</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中小学生电脑制作比赛获奖、创客比赛、机器人比赛展示获奖等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三、</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应用能力</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15</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（一）</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学生发展</w:t>
            </w:r>
            <w:r>
              <w:rPr>
                <w:rFonts w:ascii="仿宋_GB2312" w:eastAsia="仿宋_GB2312" w:hAnsi="仿宋" w:hint="eastAsia"/>
                <w:b/>
                <w:color w:val="000000" w:themeColor="text1"/>
                <w:sz w:val="28"/>
                <w:szCs w:val="28"/>
              </w:rPr>
              <w:t>(5</w:t>
            </w:r>
            <w:r>
              <w:rPr>
                <w:rFonts w:ascii="仿宋_GB2312" w:eastAsia="仿宋_GB2312" w:hAnsi="仿宋" w:hint="eastAsia"/>
                <w:b/>
                <w:color w:val="000000" w:themeColor="text1"/>
                <w:sz w:val="28"/>
                <w:szCs w:val="28"/>
              </w:rPr>
              <w:t>分</w:t>
            </w:r>
            <w:r>
              <w:rPr>
                <w:rFonts w:ascii="仿宋_GB2312" w:eastAsia="仿宋_GB2312" w:hAnsi="仿宋" w:hint="eastAsia"/>
                <w:b/>
                <w:color w:val="000000" w:themeColor="text1"/>
                <w:sz w:val="28"/>
                <w:szCs w:val="28"/>
              </w:rPr>
              <w:t>)</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学生具备良好的信息素养，能熟练地使用多媒体计算机、网络以及其它数字终端设备。</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信息技术课程安排、学生信息技术学业水平检测</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学生能够通过个人空间进行资源管理、自主学习、协作学习、探究学习、个性化学习等。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学生能够应用信息技术开展作品创作。</w:t>
            </w:r>
            <w:r>
              <w:rPr>
                <w:rFonts w:ascii="仿宋_GB2312" w:eastAsia="仿宋_GB2312" w:hAnsi="仿宋" w:hint="eastAsia"/>
                <w:color w:val="000000" w:themeColor="text1"/>
                <w:sz w:val="28"/>
                <w:szCs w:val="28"/>
              </w:rPr>
              <w:t>100%</w:t>
            </w:r>
            <w:r>
              <w:rPr>
                <w:rFonts w:ascii="仿宋_GB2312" w:eastAsia="仿宋_GB2312" w:hAnsi="仿宋" w:hint="eastAsia"/>
                <w:color w:val="000000" w:themeColor="text1"/>
                <w:sz w:val="28"/>
                <w:szCs w:val="28"/>
              </w:rPr>
              <w:t>学生有数字作品，近两年内有学生参加县级以上教育行政部门组织的与信息技术相关的竞赛并获奖。</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相关获奖证书、作品等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能遵守网络文明礼仪，自觉尊重知识产权，不使用盗版软件，自觉抵制不良信息。</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lastRenderedPageBreak/>
              <w:t>相关课程教案、网络文明公约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lastRenderedPageBreak/>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（二）</w:t>
            </w:r>
          </w:p>
          <w:p w:rsidR="00E922C8" w:rsidRDefault="00051408">
            <w:pPr>
              <w:spacing w:line="44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教师发展</w:t>
            </w:r>
            <w:r>
              <w:rPr>
                <w:rFonts w:ascii="仿宋_GB2312" w:eastAsia="仿宋_GB2312" w:hAnsi="仿宋" w:hint="eastAsia"/>
                <w:b/>
                <w:color w:val="000000" w:themeColor="text1"/>
                <w:sz w:val="28"/>
                <w:szCs w:val="28"/>
              </w:rPr>
              <w:t>(5</w:t>
            </w:r>
            <w:r>
              <w:rPr>
                <w:rFonts w:ascii="仿宋_GB2312" w:eastAsia="仿宋_GB2312" w:hAnsi="仿宋" w:hint="eastAsia"/>
                <w:b/>
                <w:color w:val="000000" w:themeColor="text1"/>
                <w:sz w:val="28"/>
                <w:szCs w:val="28"/>
              </w:rPr>
              <w:t>分</w:t>
            </w:r>
            <w:r>
              <w:rPr>
                <w:rFonts w:ascii="仿宋_GB2312" w:eastAsia="仿宋_GB2312" w:hAnsi="仿宋" w:hint="eastAsia"/>
                <w:b/>
                <w:color w:val="000000" w:themeColor="text1"/>
                <w:sz w:val="28"/>
                <w:szCs w:val="28"/>
              </w:rPr>
              <w:t>)</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教师具备较高的信息素养，全员通过国家中小学教师信息技术应用能力提升工程培训。</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相关培训证书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教师能够利用信息技术进行教学、教研、教学管理和评价，促进自身专业发展。</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软硬件环境、课件库、评价管理平台展示课照片等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近两年有省级以上（含省级）信息技术教学应用和研究成果（含论文发表、论文获奖、课题结题）。</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近两年有教师参加市级以上（含市级）信息化相关大赛并获奖（含教学、作品等）。</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一师一优课、信息化能手、多媒体教育软件评比等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（三）</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信息化</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领导力（</w:t>
            </w:r>
            <w:r>
              <w:rPr>
                <w:rFonts w:ascii="仿宋_GB2312" w:eastAsia="仿宋_GB2312" w:hAnsi="黑体" w:hint="eastAsia"/>
                <w:b/>
                <w:color w:val="000000" w:themeColor="text1"/>
                <w:sz w:val="28"/>
                <w:szCs w:val="28"/>
              </w:rPr>
              <w:t>5</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校长具有较高的信息素养，有清晰的信息化发展目标和思路。</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培训证书、学校信息化发展规划</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能运用信息技术手段开展学校各类管理，有效推进基于大数据的教育治理和绩效评价。</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各类统计管理</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numPr>
                <w:ilvl w:val="0"/>
                <w:numId w:val="1"/>
              </w:num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近两年参加省级以上信息化领导力培训，达到国家《中小学校长信息化领导力标准（试行）》要求。</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证书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四、</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融合创新</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30</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（一）</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智慧教学（</w:t>
            </w:r>
            <w:r>
              <w:rPr>
                <w:rFonts w:ascii="仿宋_GB2312" w:eastAsia="仿宋_GB2312" w:hAnsi="黑体" w:hint="eastAsia"/>
                <w:b/>
                <w:color w:val="000000" w:themeColor="text1"/>
                <w:sz w:val="28"/>
                <w:szCs w:val="28"/>
              </w:rPr>
              <w:t>13</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教师利用信息化备课支撑平台和资源平台进行电子备课和协同备课，备课课时数占总课时数的</w:t>
            </w:r>
            <w:r>
              <w:rPr>
                <w:rFonts w:ascii="仿宋_GB2312" w:eastAsia="仿宋_GB2312" w:hAnsi="仿宋" w:hint="eastAsia"/>
                <w:color w:val="000000" w:themeColor="text1"/>
                <w:sz w:val="28"/>
                <w:szCs w:val="28"/>
              </w:rPr>
              <w:t>90%</w:t>
            </w:r>
            <w:r>
              <w:rPr>
                <w:rFonts w:ascii="仿宋_GB2312" w:eastAsia="仿宋_GB2312" w:hAnsi="仿宋" w:hint="eastAsia"/>
                <w:color w:val="000000" w:themeColor="text1"/>
                <w:sz w:val="28"/>
                <w:szCs w:val="28"/>
              </w:rPr>
              <w:t>以上。</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开展智慧课堂研究，综合运用信息化教学工具、资源平台、网络空间、智慧教室等开展智慧课堂教学，创新教育教学模式，构建自主、合作、探究的教与学方式。智慧课堂学科覆盖率达</w:t>
            </w:r>
            <w:r>
              <w:rPr>
                <w:rFonts w:ascii="仿宋_GB2312" w:eastAsia="仿宋_GB2312" w:hAnsi="仿宋" w:hint="eastAsia"/>
                <w:color w:val="000000" w:themeColor="text1"/>
                <w:sz w:val="28"/>
                <w:szCs w:val="28"/>
              </w:rPr>
              <w:t>100%</w:t>
            </w:r>
            <w:r>
              <w:rPr>
                <w:rFonts w:ascii="仿宋_GB2312" w:eastAsia="仿宋_GB2312" w:hAnsi="仿宋" w:hint="eastAsia"/>
                <w:color w:val="000000" w:themeColor="text1"/>
                <w:sz w:val="28"/>
                <w:szCs w:val="28"/>
              </w:rPr>
              <w:t>，课时数达到总课时数的</w:t>
            </w:r>
            <w:r>
              <w:rPr>
                <w:rFonts w:ascii="仿宋_GB2312" w:eastAsia="仿宋_GB2312" w:hAnsi="仿宋" w:hint="eastAsia"/>
                <w:color w:val="000000" w:themeColor="text1"/>
                <w:sz w:val="28"/>
                <w:szCs w:val="28"/>
              </w:rPr>
              <w:t>60%</w:t>
            </w:r>
            <w:r>
              <w:rPr>
                <w:rFonts w:ascii="仿宋_GB2312" w:eastAsia="仿宋_GB2312" w:hAnsi="仿宋" w:hint="eastAsia"/>
                <w:color w:val="000000" w:themeColor="text1"/>
                <w:sz w:val="28"/>
                <w:szCs w:val="28"/>
              </w:rPr>
              <w:t>以上。</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lastRenderedPageBreak/>
              <w:t>数字化学习展示活动（校级、市区级）、相关数字化应用课堂、触控一体机的教学应用等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lastRenderedPageBreak/>
              <w:t>5</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注重教与学过程大数据的采集、汇聚、整理、分析，实现教师教情、学生学情的及时反馈，推进精准化的教与学。</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相关数字化学习平台的应用</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利用移动学习终端，帮助学生通过电子阅读、视频点播、作业下载等功能，实现任何时间、任何地点的个性化学习。</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相关课程</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（二）</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智慧管理（</w:t>
            </w:r>
            <w:r>
              <w:rPr>
                <w:rFonts w:ascii="仿宋_GB2312" w:eastAsia="仿宋_GB2312" w:hAnsi="黑体" w:hint="eastAsia"/>
                <w:b/>
                <w:color w:val="000000" w:themeColor="text1"/>
                <w:sz w:val="28"/>
                <w:szCs w:val="28"/>
              </w:rPr>
              <w:t>12</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建有安全的校园门户网站，能及时对校内外公开信息，并为智慧校园应用提供统一入口，门户信息及时更新。</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门户网站截图、登录入口等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numPr>
                <w:ilvl w:val="0"/>
                <w:numId w:val="2"/>
              </w:num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单点登录，提供统一的电子身份，支持多平台、多终端统一的用户认证方式，实现各种应用系统无缝集成。</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4</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学校部署教学、行政、学生、后勤等管理信息系统并有效应用，实现与省市县平台互联互通和数据共享。</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学校管理平台</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5</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设置数据分析模型和评估指标体系，积极推进基于大数据分析的教育教学管理和评价。</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管理平台、学业评价系统、物联网等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（三）</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智慧服务（</w:t>
            </w:r>
            <w:r>
              <w:rPr>
                <w:rFonts w:ascii="仿宋_GB2312" w:eastAsia="仿宋_GB2312" w:hAnsi="黑体" w:hint="eastAsia"/>
                <w:b/>
                <w:color w:val="000000" w:themeColor="text1"/>
                <w:sz w:val="28"/>
                <w:szCs w:val="28"/>
              </w:rPr>
              <w:t>5</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提供基于</w:t>
            </w:r>
            <w:r>
              <w:rPr>
                <w:rFonts w:ascii="仿宋_GB2312" w:eastAsia="仿宋_GB2312" w:hAnsi="仿宋" w:hint="eastAsia"/>
                <w:color w:val="000000" w:themeColor="text1"/>
                <w:sz w:val="28"/>
                <w:szCs w:val="28"/>
              </w:rPr>
              <w:t>PC</w:t>
            </w:r>
            <w:r>
              <w:rPr>
                <w:rFonts w:ascii="仿宋_GB2312" w:eastAsia="仿宋_GB2312" w:hAnsi="仿宋" w:hint="eastAsia"/>
                <w:color w:val="000000" w:themeColor="text1"/>
                <w:sz w:val="28"/>
                <w:szCs w:val="28"/>
              </w:rPr>
              <w:t>端和移动端的免费的家校互动平台服务，进行有效的家校互通。</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利用信息技术手段为其他学校、家庭和社会提供教师、课程及综合实践活动的公益服务。</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直播、微课点播、青果在线、专题网站、公众号等</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3</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五、</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lastRenderedPageBreak/>
              <w:t>支撑保障</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10</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lastRenderedPageBreak/>
              <w:t>（一）</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lastRenderedPageBreak/>
              <w:t>组织领导（</w:t>
            </w:r>
            <w:r>
              <w:rPr>
                <w:rFonts w:ascii="仿宋_GB2312" w:eastAsia="仿宋_GB2312" w:hAnsi="黑体" w:hint="eastAsia"/>
                <w:b/>
                <w:color w:val="000000" w:themeColor="text1"/>
                <w:sz w:val="28"/>
                <w:szCs w:val="28"/>
              </w:rPr>
              <w:t>2.5</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1.</w:t>
            </w:r>
            <w:r>
              <w:rPr>
                <w:rFonts w:ascii="仿宋_GB2312" w:eastAsia="仿宋_GB2312" w:hAnsi="仿宋" w:hint="eastAsia"/>
                <w:color w:val="000000" w:themeColor="text1"/>
                <w:sz w:val="28"/>
                <w:szCs w:val="28"/>
              </w:rPr>
              <w:t>成立以校长为组长的智慧校园工作领导小组，每学年召开</w:t>
            </w: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次以上校级会议并有记录。</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学校设有校级首席信息官。</w:t>
            </w:r>
          </w:p>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分管校长</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制定学校智慧校园建设规划并按年度推进实施。</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0.5</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（二）</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机构人员（</w:t>
            </w:r>
            <w:r>
              <w:rPr>
                <w:rFonts w:ascii="仿宋_GB2312" w:eastAsia="仿宋_GB2312" w:hAnsi="黑体" w:hint="eastAsia"/>
                <w:b/>
                <w:color w:val="000000" w:themeColor="text1"/>
                <w:sz w:val="28"/>
                <w:szCs w:val="28"/>
              </w:rPr>
              <w:t>3</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学校要单独设置中层管理部门或机构，专门负责教育信息化工作。</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至少配备</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名以上专职工作人员，专职管理人员需持市级以上</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含市级</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相关证书。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黑体"/>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每门学科需安排</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名信息化教研员，负责推进信息技术与本学科教学的融合创新。</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（三）</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经费保障（</w:t>
            </w:r>
            <w:r>
              <w:rPr>
                <w:rFonts w:ascii="仿宋_GB2312" w:eastAsia="仿宋_GB2312" w:hAnsi="黑体" w:hint="eastAsia"/>
                <w:b/>
                <w:color w:val="000000" w:themeColor="text1"/>
                <w:sz w:val="28"/>
                <w:szCs w:val="28"/>
              </w:rPr>
              <w:t>3</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财政设立专项经费，用于学校信息化基础设施和重点项目建设。</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学校安排不低于生均公用经费的</w:t>
            </w:r>
            <w:r>
              <w:rPr>
                <w:rFonts w:ascii="仿宋_GB2312" w:eastAsia="仿宋_GB2312" w:hAnsi="仿宋" w:hint="eastAsia"/>
                <w:color w:val="000000" w:themeColor="text1"/>
                <w:sz w:val="28"/>
                <w:szCs w:val="28"/>
              </w:rPr>
              <w:t>5%</w:t>
            </w:r>
            <w:r>
              <w:rPr>
                <w:rFonts w:ascii="仿宋_GB2312" w:eastAsia="仿宋_GB2312" w:hAnsi="仿宋" w:hint="eastAsia"/>
                <w:color w:val="000000" w:themeColor="text1"/>
                <w:sz w:val="28"/>
                <w:szCs w:val="28"/>
              </w:rPr>
              <w:t>，用于信息化资源更新和日常运维。</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推进校企合作，建立多元化经费投入机制。</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（四）</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制度建设（</w:t>
            </w:r>
            <w:r>
              <w:rPr>
                <w:rFonts w:ascii="仿宋_GB2312" w:eastAsia="仿宋_GB2312" w:hAnsi="黑体" w:hint="eastAsia"/>
                <w:b/>
                <w:color w:val="000000" w:themeColor="text1"/>
                <w:sz w:val="28"/>
                <w:szCs w:val="28"/>
              </w:rPr>
              <w:t>1.5</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学校建立教育信息化建设、运营和管理制度。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0.5</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学校建立推进信息技术与教育教学、管理融合创新的激励制度。</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restart"/>
            <w:vAlign w:val="center"/>
          </w:tcPr>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六、</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特色发展</w:t>
            </w:r>
          </w:p>
          <w:p w:rsidR="00E922C8" w:rsidRDefault="00051408">
            <w:pPr>
              <w:spacing w:line="440" w:lineRule="exact"/>
              <w:jc w:val="center"/>
              <w:rPr>
                <w:rFonts w:ascii="楷体_GB2312" w:eastAsia="楷体_GB2312" w:hAnsi="黑体"/>
                <w:b/>
                <w:color w:val="000000" w:themeColor="text1"/>
                <w:sz w:val="28"/>
                <w:szCs w:val="28"/>
              </w:rPr>
            </w:pPr>
            <w:r>
              <w:rPr>
                <w:rFonts w:ascii="楷体_GB2312" w:eastAsia="楷体_GB2312" w:hAnsi="黑体" w:hint="eastAsia"/>
                <w:b/>
                <w:color w:val="000000" w:themeColor="text1"/>
                <w:sz w:val="28"/>
                <w:szCs w:val="28"/>
              </w:rPr>
              <w:t>（</w:t>
            </w:r>
            <w:r>
              <w:rPr>
                <w:rFonts w:ascii="楷体_GB2312" w:eastAsia="楷体_GB2312" w:hAnsi="黑体" w:hint="eastAsia"/>
                <w:b/>
                <w:color w:val="000000" w:themeColor="text1"/>
                <w:sz w:val="28"/>
                <w:szCs w:val="28"/>
              </w:rPr>
              <w:t>10</w:t>
            </w:r>
            <w:r>
              <w:rPr>
                <w:rFonts w:ascii="楷体_GB2312" w:eastAsia="楷体_GB2312" w:hAnsi="黑体" w:hint="eastAsia"/>
                <w:b/>
                <w:color w:val="000000" w:themeColor="text1"/>
                <w:sz w:val="28"/>
                <w:szCs w:val="28"/>
              </w:rPr>
              <w:t>分）</w:t>
            </w: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（一）</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前沿探索（</w:t>
            </w:r>
            <w:r>
              <w:rPr>
                <w:rFonts w:ascii="仿宋_GB2312" w:eastAsia="仿宋_GB2312" w:hAnsi="黑体" w:hint="eastAsia"/>
                <w:b/>
                <w:color w:val="000000" w:themeColor="text1"/>
                <w:sz w:val="28"/>
                <w:szCs w:val="28"/>
              </w:rPr>
              <w:t>3</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主持或参与政府、企业、高校等部门的前沿教育信息化实验项目，持续</w:t>
            </w: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年以上，并取得创造性成果，得到省级以上行政和相关部门认可并推广。</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rPr>
                <w:rFonts w:ascii="仿宋_GB2312" w:eastAsia="仿宋_GB2312" w:hAnsi="仿宋"/>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积极探索利用云计算、物联网、大数据、人工智能、虚拟现实等新技术在教育教学中的应用，取得明显成效并在省内外产生较大影响。</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rPr>
                <w:rFonts w:ascii="仿宋_GB2312" w:eastAsia="仿宋_GB2312" w:hAnsi="仿宋"/>
                <w:color w:val="000000" w:themeColor="text1"/>
                <w:sz w:val="28"/>
                <w:szCs w:val="28"/>
              </w:rPr>
            </w:pPr>
          </w:p>
        </w:tc>
        <w:tc>
          <w:tcPr>
            <w:tcW w:w="11198" w:type="dxa"/>
            <w:vAlign w:val="center"/>
          </w:tcPr>
          <w:p w:rsidR="00E922C8" w:rsidRDefault="00051408">
            <w:pPr>
              <w:snapToGrid w:val="0"/>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建设有一个高水平的智能实验室、智慧学习体验中心、众创空间等创新实验室</w:t>
            </w:r>
          </w:p>
          <w:p w:rsidR="00E922C8" w:rsidRDefault="00051408">
            <w:pPr>
              <w:snapToGrid w:val="0"/>
              <w:spacing w:line="440" w:lineRule="exact"/>
              <w:rPr>
                <w:rFonts w:ascii="仿宋_GB2312" w:eastAsia="仿宋_GB2312" w:hAnsi="仿宋"/>
                <w:color w:val="000000" w:themeColor="text1"/>
                <w:sz w:val="28"/>
                <w:szCs w:val="28"/>
              </w:rPr>
            </w:pPr>
            <w:r>
              <w:rPr>
                <w:rFonts w:ascii="仿宋_GB2312" w:eastAsia="仿宋_GB2312" w:hAnsi="仿宋" w:hint="eastAsia"/>
                <w:color w:val="C00000"/>
                <w:sz w:val="28"/>
                <w:szCs w:val="28"/>
              </w:rPr>
              <w:t>创客空间</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restart"/>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（二）</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突出成果（</w:t>
            </w:r>
            <w:r>
              <w:rPr>
                <w:rFonts w:ascii="仿宋_GB2312" w:eastAsia="仿宋_GB2312" w:hAnsi="黑体" w:hint="eastAsia"/>
                <w:b/>
                <w:color w:val="000000" w:themeColor="text1"/>
                <w:sz w:val="28"/>
                <w:szCs w:val="28"/>
              </w:rPr>
              <w:t>6</w:t>
            </w:r>
            <w:r>
              <w:rPr>
                <w:rFonts w:ascii="仿宋_GB2312" w:eastAsia="仿宋_GB2312" w:hAnsi="黑体" w:hint="eastAsia"/>
                <w:b/>
                <w:color w:val="000000" w:themeColor="text1"/>
                <w:sz w:val="28"/>
                <w:szCs w:val="28"/>
              </w:rPr>
              <w:t>分）</w:t>
            </w: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积极开展智慧课堂建设，在促进教师教学方式和学生学习方式变革方面取得重要进展，形成在一定范围内具有推广价值的智慧课堂教学范式。</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w:t>
            </w:r>
            <w:r>
              <w:rPr>
                <w:rFonts w:ascii="仿宋_GB2312" w:eastAsia="仿宋_GB2312" w:hAnsi="仿宋" w:hint="eastAsia"/>
                <w:color w:val="000000" w:themeColor="text1"/>
                <w:sz w:val="28"/>
                <w:szCs w:val="28"/>
              </w:rPr>
              <w:t>在教学资源平台建设与应用、促进优质资源共建共享方面取得突出成绩，有效地促进区</w:t>
            </w:r>
            <w:r>
              <w:rPr>
                <w:rFonts w:ascii="仿宋_GB2312" w:eastAsia="仿宋_GB2312" w:hAnsi="仿宋" w:hint="eastAsia"/>
                <w:color w:val="000000" w:themeColor="text1"/>
                <w:sz w:val="28"/>
                <w:szCs w:val="28"/>
              </w:rPr>
              <w:lastRenderedPageBreak/>
              <w:t>域教育均衡发展。</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lastRenderedPageBreak/>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黑体"/>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学校师生在“网络学习空间人人通”建设与应用方面取得突破，有效促进教师的专业发展和学生的自主探究合作学习。</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2</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Merge/>
            <w:vAlign w:val="center"/>
          </w:tcPr>
          <w:p w:rsidR="00E922C8" w:rsidRDefault="00E922C8">
            <w:pPr>
              <w:spacing w:line="440" w:lineRule="exact"/>
              <w:jc w:val="center"/>
              <w:rPr>
                <w:rFonts w:ascii="仿宋_GB2312" w:eastAsia="仿宋_GB2312" w:hAnsi="黑体"/>
                <w:b/>
                <w:color w:val="000000" w:themeColor="text1"/>
                <w:sz w:val="28"/>
                <w:szCs w:val="28"/>
              </w:rPr>
            </w:pPr>
          </w:p>
        </w:tc>
        <w:tc>
          <w:tcPr>
            <w:tcW w:w="11198" w:type="dxa"/>
            <w:vAlign w:val="center"/>
          </w:tcPr>
          <w:p w:rsidR="00E922C8" w:rsidRDefault="00051408">
            <w:pPr>
              <w:spacing w:line="440" w:lineRule="exac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4.</w:t>
            </w:r>
            <w:r>
              <w:rPr>
                <w:rFonts w:ascii="仿宋_GB2312" w:eastAsia="仿宋_GB2312" w:hAnsi="仿宋" w:hint="eastAsia"/>
                <w:color w:val="000000" w:themeColor="text1"/>
                <w:sz w:val="28"/>
                <w:szCs w:val="28"/>
              </w:rPr>
              <w:t>学校的创新应用典型案例和特色成果获得省级以上奖励或宣传推广。</w:t>
            </w:r>
          </w:p>
          <w:p w:rsidR="00E922C8" w:rsidRDefault="00051408">
            <w:pPr>
              <w:spacing w:line="440" w:lineRule="exact"/>
              <w:rPr>
                <w:rFonts w:ascii="仿宋_GB2312" w:eastAsia="仿宋_GB2312" w:hAnsi="仿宋"/>
                <w:color w:val="000000" w:themeColor="text1"/>
                <w:sz w:val="28"/>
                <w:szCs w:val="28"/>
              </w:rPr>
            </w:pPr>
            <w:bookmarkStart w:id="0" w:name="_GoBack"/>
            <w:r>
              <w:rPr>
                <w:rFonts w:ascii="仿宋_GB2312" w:eastAsia="仿宋_GB2312" w:hAnsi="仿宋" w:hint="eastAsia"/>
                <w:color w:val="C00000"/>
                <w:sz w:val="28"/>
                <w:szCs w:val="28"/>
              </w:rPr>
              <w:t>新闻推广</w:t>
            </w:r>
            <w:bookmarkEnd w:id="0"/>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r w:rsidR="00E922C8">
        <w:tc>
          <w:tcPr>
            <w:tcW w:w="1526" w:type="dxa"/>
            <w:vMerge/>
            <w:vAlign w:val="center"/>
          </w:tcPr>
          <w:p w:rsidR="00E922C8" w:rsidRDefault="00E922C8">
            <w:pPr>
              <w:spacing w:line="440" w:lineRule="exact"/>
              <w:jc w:val="center"/>
              <w:rPr>
                <w:rFonts w:ascii="楷体_GB2312" w:eastAsia="楷体_GB2312" w:hAnsi="黑体"/>
                <w:b/>
                <w:color w:val="000000" w:themeColor="text1"/>
                <w:sz w:val="28"/>
                <w:szCs w:val="28"/>
              </w:rPr>
            </w:pPr>
          </w:p>
        </w:tc>
        <w:tc>
          <w:tcPr>
            <w:tcW w:w="1559" w:type="dxa"/>
            <w:vAlign w:val="center"/>
          </w:tcPr>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8"/>
                <w:szCs w:val="28"/>
              </w:rPr>
              <w:t>（三）</w:t>
            </w:r>
          </w:p>
          <w:p w:rsidR="00E922C8" w:rsidRDefault="00051408">
            <w:pPr>
              <w:spacing w:line="440" w:lineRule="exact"/>
              <w:jc w:val="center"/>
              <w:rPr>
                <w:rFonts w:ascii="仿宋_GB2312" w:eastAsia="仿宋_GB2312" w:hAnsi="黑体"/>
                <w:b/>
                <w:color w:val="000000" w:themeColor="text1"/>
                <w:sz w:val="28"/>
                <w:szCs w:val="28"/>
              </w:rPr>
            </w:pPr>
            <w:r>
              <w:rPr>
                <w:rFonts w:ascii="仿宋_GB2312" w:eastAsia="仿宋_GB2312" w:hAnsi="黑体" w:hint="eastAsia"/>
                <w:b/>
                <w:color w:val="000000" w:themeColor="text1"/>
                <w:sz w:val="20"/>
                <w:szCs w:val="28"/>
              </w:rPr>
              <w:t>机制创新（</w:t>
            </w:r>
            <w:r>
              <w:rPr>
                <w:rFonts w:ascii="仿宋_GB2312" w:eastAsia="仿宋_GB2312" w:hAnsi="黑体" w:hint="eastAsia"/>
                <w:b/>
                <w:color w:val="000000" w:themeColor="text1"/>
                <w:sz w:val="20"/>
                <w:szCs w:val="28"/>
              </w:rPr>
              <w:t>1</w:t>
            </w:r>
            <w:r>
              <w:rPr>
                <w:rFonts w:ascii="仿宋_GB2312" w:eastAsia="仿宋_GB2312" w:hAnsi="黑体" w:hint="eastAsia"/>
                <w:b/>
                <w:color w:val="000000" w:themeColor="text1"/>
                <w:sz w:val="20"/>
                <w:szCs w:val="28"/>
              </w:rPr>
              <w:t>分）</w:t>
            </w:r>
          </w:p>
        </w:tc>
        <w:tc>
          <w:tcPr>
            <w:tcW w:w="11198" w:type="dxa"/>
            <w:vAlign w:val="center"/>
          </w:tcPr>
          <w:p w:rsidR="00E922C8" w:rsidRDefault="00051408">
            <w:pPr>
              <w:spacing w:line="440" w:lineRule="exact"/>
              <w:rPr>
                <w:rFonts w:ascii="仿宋_GB2312" w:eastAsia="仿宋_GB2312" w:hAnsi="黑体"/>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学校建立了可复制、可推广的智慧校园建设与应用机制，有效地促进了智慧校园建设的可持续发展。</w:t>
            </w:r>
          </w:p>
        </w:tc>
        <w:tc>
          <w:tcPr>
            <w:tcW w:w="993" w:type="dxa"/>
            <w:vAlign w:val="center"/>
          </w:tcPr>
          <w:p w:rsidR="00E922C8" w:rsidRDefault="00051408">
            <w:pPr>
              <w:spacing w:line="440" w:lineRule="exact"/>
              <w:jc w:val="center"/>
              <w:rPr>
                <w:rFonts w:ascii="仿宋_GB2312" w:eastAsia="仿宋_GB2312" w:hAnsi="黑体"/>
                <w:color w:val="000000" w:themeColor="text1"/>
                <w:sz w:val="28"/>
                <w:szCs w:val="28"/>
              </w:rPr>
            </w:pPr>
            <w:r>
              <w:rPr>
                <w:rFonts w:ascii="仿宋_GB2312" w:eastAsia="仿宋_GB2312" w:hAnsi="黑体" w:hint="eastAsia"/>
                <w:color w:val="000000" w:themeColor="text1"/>
                <w:sz w:val="28"/>
                <w:szCs w:val="28"/>
              </w:rPr>
              <w:t>1</w:t>
            </w:r>
          </w:p>
        </w:tc>
      </w:tr>
    </w:tbl>
    <w:p w:rsidR="00E922C8" w:rsidRDefault="00E922C8">
      <w:pPr>
        <w:spacing w:line="600" w:lineRule="exact"/>
        <w:rPr>
          <w:rFonts w:ascii="仿宋_GB2312" w:eastAsia="仿宋_GB2312" w:hAnsi="黑体"/>
          <w:sz w:val="44"/>
          <w:szCs w:val="44"/>
        </w:rPr>
      </w:pPr>
    </w:p>
    <w:p w:rsidR="00E922C8" w:rsidRDefault="00E922C8">
      <w:pPr>
        <w:spacing w:line="600" w:lineRule="exact"/>
        <w:rPr>
          <w:rFonts w:ascii="仿宋_GB2312" w:eastAsia="仿宋_GB2312" w:hAnsi="黑体"/>
          <w:sz w:val="44"/>
          <w:szCs w:val="44"/>
        </w:rPr>
      </w:pPr>
    </w:p>
    <w:p w:rsidR="00E922C8" w:rsidRDefault="00051408">
      <w:pPr>
        <w:spacing w:line="600" w:lineRule="exact"/>
        <w:rPr>
          <w:rFonts w:ascii="仿宋_GB2312" w:eastAsia="仿宋_GB2312" w:hAnsi="黑体"/>
          <w:sz w:val="44"/>
          <w:szCs w:val="44"/>
        </w:rPr>
      </w:pPr>
      <w:r>
        <w:rPr>
          <w:rFonts w:ascii="仿宋_GB2312" w:eastAsia="仿宋_GB2312" w:hAnsi="黑体" w:hint="eastAsia"/>
          <w:sz w:val="44"/>
          <w:szCs w:val="44"/>
        </w:rPr>
        <w:t>1.9</w:t>
      </w:r>
      <w:r>
        <w:rPr>
          <w:rFonts w:ascii="仿宋_GB2312" w:eastAsia="仿宋_GB2312" w:hAnsi="黑体" w:hint="eastAsia"/>
          <w:sz w:val="44"/>
          <w:szCs w:val="44"/>
        </w:rPr>
        <w:t>月</w:t>
      </w:r>
      <w:r>
        <w:rPr>
          <w:rFonts w:ascii="仿宋_GB2312" w:eastAsia="仿宋_GB2312" w:hAnsi="黑体" w:hint="eastAsia"/>
          <w:sz w:val="44"/>
          <w:szCs w:val="44"/>
        </w:rPr>
        <w:t>27</w:t>
      </w:r>
      <w:r>
        <w:rPr>
          <w:rFonts w:ascii="仿宋_GB2312" w:eastAsia="仿宋_GB2312" w:hAnsi="黑体" w:hint="eastAsia"/>
          <w:sz w:val="44"/>
          <w:szCs w:val="44"/>
        </w:rPr>
        <w:t>日截止，每项指标不要空。</w:t>
      </w:r>
    </w:p>
    <w:p w:rsidR="00E922C8" w:rsidRDefault="00051408">
      <w:pPr>
        <w:spacing w:line="600" w:lineRule="exact"/>
        <w:rPr>
          <w:rFonts w:ascii="仿宋_GB2312" w:eastAsia="仿宋_GB2312" w:hAnsi="黑体"/>
          <w:sz w:val="44"/>
          <w:szCs w:val="44"/>
        </w:rPr>
      </w:pPr>
      <w:r>
        <w:rPr>
          <w:rFonts w:ascii="仿宋_GB2312" w:eastAsia="仿宋_GB2312" w:hAnsi="黑体" w:hint="eastAsia"/>
          <w:sz w:val="44"/>
          <w:szCs w:val="44"/>
        </w:rPr>
        <w:t>2.</w:t>
      </w:r>
      <w:r>
        <w:rPr>
          <w:rFonts w:ascii="仿宋_GB2312" w:eastAsia="仿宋_GB2312" w:hAnsi="黑体" w:hint="eastAsia"/>
          <w:sz w:val="44"/>
          <w:szCs w:val="44"/>
        </w:rPr>
        <w:t>分管校长组建创建小组，分工合作，关注群通知，及时回复、传达。</w:t>
      </w:r>
    </w:p>
    <w:p w:rsidR="00E922C8" w:rsidRDefault="00051408">
      <w:pPr>
        <w:spacing w:line="600" w:lineRule="exact"/>
        <w:rPr>
          <w:rFonts w:ascii="仿宋_GB2312" w:eastAsia="仿宋_GB2312" w:hAnsi="黑体"/>
          <w:sz w:val="44"/>
          <w:szCs w:val="44"/>
        </w:rPr>
      </w:pPr>
      <w:r>
        <w:rPr>
          <w:rFonts w:ascii="仿宋_GB2312" w:eastAsia="仿宋_GB2312" w:hAnsi="黑体" w:hint="eastAsia"/>
          <w:sz w:val="44"/>
          <w:szCs w:val="44"/>
        </w:rPr>
        <w:t>3.</w:t>
      </w:r>
      <w:r>
        <w:rPr>
          <w:rFonts w:ascii="仿宋_GB2312" w:eastAsia="仿宋_GB2312" w:hAnsi="黑体" w:hint="eastAsia"/>
          <w:sz w:val="44"/>
          <w:szCs w:val="44"/>
        </w:rPr>
        <w:t>材料丰富的学校要争取创示范校。</w:t>
      </w:r>
    </w:p>
    <w:sectPr w:rsidR="00E922C8" w:rsidSect="00E922C8">
      <w:pgSz w:w="16838" w:h="11906" w:orient="landscape"/>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08" w:rsidRDefault="00051408" w:rsidP="00325E65">
      <w:r>
        <w:separator/>
      </w:r>
    </w:p>
  </w:endnote>
  <w:endnote w:type="continuationSeparator" w:id="0">
    <w:p w:rsidR="00051408" w:rsidRDefault="00051408" w:rsidP="00325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charset w:val="86"/>
    <w:family w:val="modern"/>
    <w:pitch w:val="default"/>
    <w:sig w:usb0="800002BF" w:usb1="38CF7CFA" w:usb2="00000016" w:usb3="00000000" w:csb0="00040001" w:csb1="00000000"/>
  </w:font>
  <w:font w:name="仿宋">
    <w:charset w:val="86"/>
    <w:family w:val="modern"/>
    <w:pitch w:val="default"/>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08" w:rsidRDefault="00051408" w:rsidP="00325E65">
      <w:r>
        <w:separator/>
      </w:r>
    </w:p>
  </w:footnote>
  <w:footnote w:type="continuationSeparator" w:id="0">
    <w:p w:rsidR="00051408" w:rsidRDefault="00051408" w:rsidP="00325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549FB6"/>
    <w:multiLevelType w:val="singleLevel"/>
    <w:tmpl w:val="D8549FB6"/>
    <w:lvl w:ilvl="0">
      <w:start w:val="2"/>
      <w:numFmt w:val="decimal"/>
      <w:lvlText w:val="%1."/>
      <w:lvlJc w:val="left"/>
      <w:pPr>
        <w:tabs>
          <w:tab w:val="left" w:pos="312"/>
        </w:tabs>
      </w:pPr>
    </w:lvl>
  </w:abstractNum>
  <w:abstractNum w:abstractNumId="1">
    <w:nsid w:val="1C4BA218"/>
    <w:multiLevelType w:val="singleLevel"/>
    <w:tmpl w:val="1C4BA218"/>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1F2"/>
    <w:rsid w:val="000140B2"/>
    <w:rsid w:val="00026E2D"/>
    <w:rsid w:val="00051408"/>
    <w:rsid w:val="00052856"/>
    <w:rsid w:val="000772D1"/>
    <w:rsid w:val="00077608"/>
    <w:rsid w:val="000977D2"/>
    <w:rsid w:val="000A23DA"/>
    <w:rsid w:val="000D640D"/>
    <w:rsid w:val="000D7246"/>
    <w:rsid w:val="000E0595"/>
    <w:rsid w:val="0010527C"/>
    <w:rsid w:val="0011178F"/>
    <w:rsid w:val="00122705"/>
    <w:rsid w:val="00147AD1"/>
    <w:rsid w:val="00155AC4"/>
    <w:rsid w:val="00163665"/>
    <w:rsid w:val="00165FD7"/>
    <w:rsid w:val="00167222"/>
    <w:rsid w:val="001B35F8"/>
    <w:rsid w:val="001C023E"/>
    <w:rsid w:val="00225DCF"/>
    <w:rsid w:val="002270FC"/>
    <w:rsid w:val="00246D43"/>
    <w:rsid w:val="002509C8"/>
    <w:rsid w:val="002669CB"/>
    <w:rsid w:val="00273E4A"/>
    <w:rsid w:val="002E5E27"/>
    <w:rsid w:val="002E7C42"/>
    <w:rsid w:val="00325E65"/>
    <w:rsid w:val="00326C53"/>
    <w:rsid w:val="003331CB"/>
    <w:rsid w:val="00377145"/>
    <w:rsid w:val="00394856"/>
    <w:rsid w:val="00395EC6"/>
    <w:rsid w:val="003A19FF"/>
    <w:rsid w:val="004045C3"/>
    <w:rsid w:val="00407433"/>
    <w:rsid w:val="00411301"/>
    <w:rsid w:val="00424F4E"/>
    <w:rsid w:val="00425BE8"/>
    <w:rsid w:val="00492B51"/>
    <w:rsid w:val="004A1721"/>
    <w:rsid w:val="004B7020"/>
    <w:rsid w:val="004E01E2"/>
    <w:rsid w:val="00501756"/>
    <w:rsid w:val="005207C7"/>
    <w:rsid w:val="00522806"/>
    <w:rsid w:val="00530762"/>
    <w:rsid w:val="00587C85"/>
    <w:rsid w:val="00587D58"/>
    <w:rsid w:val="005C1A5C"/>
    <w:rsid w:val="0060488D"/>
    <w:rsid w:val="0061437A"/>
    <w:rsid w:val="006417E4"/>
    <w:rsid w:val="006A3B51"/>
    <w:rsid w:val="006B0009"/>
    <w:rsid w:val="0070015A"/>
    <w:rsid w:val="007371BF"/>
    <w:rsid w:val="00737386"/>
    <w:rsid w:val="007448D5"/>
    <w:rsid w:val="007B652F"/>
    <w:rsid w:val="007C7ECB"/>
    <w:rsid w:val="007E4745"/>
    <w:rsid w:val="007F2FD3"/>
    <w:rsid w:val="008365C1"/>
    <w:rsid w:val="00844DCE"/>
    <w:rsid w:val="00845FFD"/>
    <w:rsid w:val="008546D1"/>
    <w:rsid w:val="00862E69"/>
    <w:rsid w:val="00894A0C"/>
    <w:rsid w:val="008B48B6"/>
    <w:rsid w:val="008C1155"/>
    <w:rsid w:val="008C69D2"/>
    <w:rsid w:val="008C78F8"/>
    <w:rsid w:val="008E651B"/>
    <w:rsid w:val="00902353"/>
    <w:rsid w:val="00911A1A"/>
    <w:rsid w:val="009245FC"/>
    <w:rsid w:val="009272AF"/>
    <w:rsid w:val="00927534"/>
    <w:rsid w:val="009617E9"/>
    <w:rsid w:val="00972B08"/>
    <w:rsid w:val="00980089"/>
    <w:rsid w:val="00993E49"/>
    <w:rsid w:val="009C6316"/>
    <w:rsid w:val="009D6313"/>
    <w:rsid w:val="009F013D"/>
    <w:rsid w:val="00A23C1E"/>
    <w:rsid w:val="00A26CF7"/>
    <w:rsid w:val="00A433F5"/>
    <w:rsid w:val="00A6370F"/>
    <w:rsid w:val="00A71595"/>
    <w:rsid w:val="00A9189D"/>
    <w:rsid w:val="00A96671"/>
    <w:rsid w:val="00AA4B48"/>
    <w:rsid w:val="00AD07EB"/>
    <w:rsid w:val="00AD6DE6"/>
    <w:rsid w:val="00AE108B"/>
    <w:rsid w:val="00AF1F9B"/>
    <w:rsid w:val="00B86680"/>
    <w:rsid w:val="00B87575"/>
    <w:rsid w:val="00B9658A"/>
    <w:rsid w:val="00BA66AC"/>
    <w:rsid w:val="00BA7B22"/>
    <w:rsid w:val="00BC277C"/>
    <w:rsid w:val="00BC2C4C"/>
    <w:rsid w:val="00BC7E2B"/>
    <w:rsid w:val="00BE45D8"/>
    <w:rsid w:val="00C17242"/>
    <w:rsid w:val="00C22782"/>
    <w:rsid w:val="00C41C8F"/>
    <w:rsid w:val="00C444C0"/>
    <w:rsid w:val="00CB0AD5"/>
    <w:rsid w:val="00CE5CCE"/>
    <w:rsid w:val="00D15EBF"/>
    <w:rsid w:val="00D2103E"/>
    <w:rsid w:val="00D2393E"/>
    <w:rsid w:val="00D26AD5"/>
    <w:rsid w:val="00D42D99"/>
    <w:rsid w:val="00D46708"/>
    <w:rsid w:val="00D5744D"/>
    <w:rsid w:val="00D7167C"/>
    <w:rsid w:val="00D77719"/>
    <w:rsid w:val="00D80EB4"/>
    <w:rsid w:val="00DA65A2"/>
    <w:rsid w:val="00DA6EBF"/>
    <w:rsid w:val="00DD72F9"/>
    <w:rsid w:val="00E176B1"/>
    <w:rsid w:val="00E30A71"/>
    <w:rsid w:val="00E52AAF"/>
    <w:rsid w:val="00E736BA"/>
    <w:rsid w:val="00E7550C"/>
    <w:rsid w:val="00E91527"/>
    <w:rsid w:val="00E922C8"/>
    <w:rsid w:val="00E9267C"/>
    <w:rsid w:val="00EA21F2"/>
    <w:rsid w:val="00EA3D8C"/>
    <w:rsid w:val="00EA5AAA"/>
    <w:rsid w:val="00EA7934"/>
    <w:rsid w:val="00EB2270"/>
    <w:rsid w:val="00EC1128"/>
    <w:rsid w:val="00ED2018"/>
    <w:rsid w:val="00EF5836"/>
    <w:rsid w:val="00F07352"/>
    <w:rsid w:val="00F35E7F"/>
    <w:rsid w:val="00F40F4F"/>
    <w:rsid w:val="00F4340D"/>
    <w:rsid w:val="00F54E2B"/>
    <w:rsid w:val="00F952B2"/>
    <w:rsid w:val="00F96314"/>
    <w:rsid w:val="00F976D8"/>
    <w:rsid w:val="00FB78BB"/>
    <w:rsid w:val="00FE335D"/>
    <w:rsid w:val="118C59B0"/>
    <w:rsid w:val="21276D10"/>
    <w:rsid w:val="3D8B625B"/>
    <w:rsid w:val="3E337607"/>
    <w:rsid w:val="4C6B732C"/>
    <w:rsid w:val="4D79016D"/>
    <w:rsid w:val="64476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922C8"/>
    <w:rPr>
      <w:sz w:val="18"/>
      <w:szCs w:val="18"/>
    </w:rPr>
  </w:style>
  <w:style w:type="paragraph" w:styleId="a4">
    <w:name w:val="footer"/>
    <w:basedOn w:val="a"/>
    <w:link w:val="Char0"/>
    <w:uiPriority w:val="99"/>
    <w:unhideWhenUsed/>
    <w:rsid w:val="00E922C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922C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E92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E922C8"/>
    <w:rPr>
      <w:sz w:val="18"/>
      <w:szCs w:val="18"/>
    </w:rPr>
  </w:style>
  <w:style w:type="character" w:customStyle="1" w:styleId="Char0">
    <w:name w:val="页脚 Char"/>
    <w:basedOn w:val="a0"/>
    <w:link w:val="a4"/>
    <w:uiPriority w:val="99"/>
    <w:rsid w:val="00E922C8"/>
    <w:rPr>
      <w:sz w:val="18"/>
      <w:szCs w:val="18"/>
    </w:rPr>
  </w:style>
  <w:style w:type="paragraph" w:styleId="a7">
    <w:name w:val="List Paragraph"/>
    <w:basedOn w:val="a"/>
    <w:uiPriority w:val="34"/>
    <w:qFormat/>
    <w:rsid w:val="00E922C8"/>
    <w:pPr>
      <w:ind w:firstLineChars="200" w:firstLine="420"/>
    </w:pPr>
  </w:style>
  <w:style w:type="character" w:customStyle="1" w:styleId="Char">
    <w:name w:val="批注框文本 Char"/>
    <w:basedOn w:val="a0"/>
    <w:link w:val="a3"/>
    <w:uiPriority w:val="99"/>
    <w:semiHidden/>
    <w:qFormat/>
    <w:rsid w:val="00E922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AF793-FE26-432E-B57D-E2E535E2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679</Words>
  <Characters>3876</Characters>
  <Application>Microsoft Office Word</Application>
  <DocSecurity>0</DocSecurity>
  <Lines>32</Lines>
  <Paragraphs>9</Paragraphs>
  <ScaleCrop>false</ScaleCrop>
  <Company>Microsoft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yu</cp:lastModifiedBy>
  <cp:revision>2</cp:revision>
  <cp:lastPrinted>2019-08-18T07:44:00Z</cp:lastPrinted>
  <dcterms:created xsi:type="dcterms:W3CDTF">2019-09-21T03:02:00Z</dcterms:created>
  <dcterms:modified xsi:type="dcterms:W3CDTF">2019-09-21T03:02:00Z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